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cs="Arial"/>
          <w:szCs w:val="21"/>
        </w:rPr>
      </w:pPr>
      <w:bookmarkStart w:id="0" w:name="CTS_3d3c9370f49d4ad49be40abdf14c11c6"/>
      <w:bookmarkEnd w:id="0"/>
      <w:bookmarkStart w:id="1" w:name="CLAUSE_3d3c9370f49d4ad49be40abdf14c11c6"/>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ascii="黑体" w:hAnsi="黑体" w:eastAsia="黑体" w:cs="Arial"/>
          <w:b/>
          <w:sz w:val="44"/>
          <w:szCs w:val="21"/>
        </w:rPr>
      </w:pPr>
      <w:r>
        <w:rPr>
          <w:rFonts w:hint="eastAsia" w:ascii="黑体" w:hAnsi="黑体" w:eastAsia="黑体" w:cs="Arial"/>
          <w:b/>
          <w:sz w:val="44"/>
          <w:szCs w:val="21"/>
        </w:rPr>
        <w:t>博时中证国新央企现代能源交易型开放式指数证券投资基金发起式联接基金托管协议</w:t>
      </w:r>
    </w:p>
    <w:p>
      <w:pPr>
        <w:adjustRightInd w:val="0"/>
        <w:snapToGrid w:val="0"/>
        <w:spacing w:line="360" w:lineRule="auto"/>
        <w:jc w:val="center"/>
        <w:rPr>
          <w:rFonts w:ascii="黑体" w:hAnsi="黑体" w:eastAsia="黑体" w:cs="Arial"/>
          <w:b/>
          <w:sz w:val="44"/>
          <w:szCs w:val="21"/>
        </w:rPr>
      </w:pPr>
    </w:p>
    <w:p>
      <w:pPr>
        <w:adjustRightInd w:val="0"/>
        <w:snapToGrid w:val="0"/>
        <w:spacing w:line="360" w:lineRule="auto"/>
        <w:jc w:val="center"/>
        <w:rPr>
          <w:rFonts w:ascii="黑体" w:hAnsi="黑体" w:eastAsia="黑体" w:cs="Arial"/>
          <w:b/>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jc w:val="center"/>
        <w:rPr>
          <w:rFonts w:cs="Arial"/>
          <w:szCs w:val="21"/>
        </w:rPr>
      </w:pPr>
    </w:p>
    <w:p>
      <w:pPr>
        <w:adjustRightInd w:val="0"/>
        <w:snapToGrid w:val="0"/>
        <w:spacing w:line="360" w:lineRule="auto"/>
        <w:ind w:firstLine="1680" w:firstLineChars="600"/>
        <w:rPr>
          <w:rFonts w:ascii="黑体" w:hAnsi="黑体" w:eastAsia="黑体" w:cs="Arial"/>
          <w:bCs/>
          <w:sz w:val="28"/>
          <w:szCs w:val="21"/>
        </w:rPr>
      </w:pPr>
      <w:r>
        <w:rPr>
          <w:rFonts w:hint="eastAsia" w:ascii="黑体" w:hAnsi="黑体" w:eastAsia="黑体" w:cs="Arial"/>
          <w:bCs/>
          <w:sz w:val="28"/>
          <w:szCs w:val="21"/>
        </w:rPr>
        <w:t>基金管理人：博时基金管理有限公司</w:t>
      </w:r>
    </w:p>
    <w:p>
      <w:pPr>
        <w:adjustRightInd w:val="0"/>
        <w:snapToGrid w:val="0"/>
        <w:spacing w:line="360" w:lineRule="auto"/>
        <w:ind w:firstLine="1680" w:firstLineChars="600"/>
        <w:rPr>
          <w:rFonts w:ascii="黑体" w:hAnsi="黑体" w:eastAsia="黑体" w:cs="Arial"/>
          <w:bCs/>
          <w:sz w:val="28"/>
          <w:szCs w:val="21"/>
        </w:rPr>
      </w:pPr>
      <w:r>
        <w:rPr>
          <w:rFonts w:hint="eastAsia" w:ascii="黑体" w:hAnsi="黑体" w:eastAsia="黑体" w:cs="Arial"/>
          <w:bCs/>
          <w:sz w:val="28"/>
          <w:szCs w:val="21"/>
        </w:rPr>
        <w:t>基金托管人：中国建设银行股份有限公司</w:t>
      </w:r>
    </w:p>
    <w:p>
      <w:pPr>
        <w:adjustRightInd w:val="0"/>
        <w:snapToGrid w:val="0"/>
        <w:spacing w:line="360" w:lineRule="auto"/>
        <w:ind w:firstLine="2263" w:firstLineChars="1078"/>
        <w:rPr>
          <w:rFonts w:ascii="黑体" w:hAnsi="黑体" w:eastAsia="黑体" w:cs="Arial"/>
          <w:bCs/>
          <w:szCs w:val="21"/>
        </w:rPr>
      </w:pPr>
    </w:p>
    <w:p>
      <w:pPr>
        <w:adjustRightInd w:val="0"/>
        <w:snapToGrid w:val="0"/>
        <w:spacing w:line="360" w:lineRule="auto"/>
        <w:ind w:firstLine="2264"/>
        <w:jc w:val="center"/>
        <w:rPr>
          <w:szCs w:val="21"/>
        </w:rPr>
      </w:pPr>
    </w:p>
    <w:p>
      <w:pPr>
        <w:adjustRightInd w:val="0"/>
        <w:snapToGrid w:val="0"/>
        <w:spacing w:line="360" w:lineRule="auto"/>
        <w:rPr>
          <w:rFonts w:cs="Arial"/>
          <w:bCs/>
          <w:szCs w:val="21"/>
        </w:rPr>
      </w:pPr>
    </w:p>
    <w:bookmarkEnd w:id="1"/>
    <w:p>
      <w:pPr>
        <w:adjustRightInd w:val="0"/>
        <w:snapToGrid w:val="0"/>
        <w:spacing w:line="360" w:lineRule="auto"/>
        <w:rPr>
          <w:rFonts w:cs="Arial"/>
          <w:bCs/>
          <w:szCs w:val="21"/>
        </w:rPr>
        <w:sectPr>
          <w:footerReference r:id="rId3" w:type="even"/>
          <w:type w:val="continuous"/>
          <w:pgSz w:w="11906" w:h="16838"/>
          <w:pgMar w:top="1418" w:right="1701" w:bottom="1418" w:left="1701" w:header="851" w:footer="992" w:gutter="0"/>
          <w:cols w:space="425" w:num="1"/>
          <w:docGrid w:type="lines" w:linePitch="312" w:charSpace="0"/>
        </w:sectPr>
      </w:pPr>
    </w:p>
    <w:p>
      <w:pPr>
        <w:adjustRightInd w:val="0"/>
        <w:snapToGrid w:val="0"/>
        <w:spacing w:line="360" w:lineRule="auto"/>
        <w:rPr>
          <w:rFonts w:cs="Arial"/>
          <w:bCs/>
          <w:szCs w:val="21"/>
        </w:rPr>
      </w:pPr>
      <w:bookmarkStart w:id="2" w:name="CLAUSE_5b7c9c4f24b141d7a3cd52c384fef91e"/>
      <w:r>
        <w:t xml:space="preserve"> </w:t>
      </w:r>
      <w:bookmarkStart w:id="3" w:name="CTS_5b7c9c4f24b141d7a3cd52c384fef91e"/>
      <w:bookmarkEnd w:id="3"/>
    </w:p>
    <w:p>
      <w:pPr>
        <w:spacing w:line="360" w:lineRule="auto"/>
        <w:jc w:val="center"/>
        <w:rPr>
          <w:rFonts w:ascii="宋体" w:hAnsi="宋体"/>
          <w:b/>
          <w:bCs/>
          <w:szCs w:val="21"/>
        </w:rPr>
      </w:pPr>
      <w:r>
        <w:rPr>
          <w:rFonts w:hint="eastAsia" w:ascii="宋体" w:hAnsi="宋体"/>
          <w:b/>
          <w:bCs/>
          <w:szCs w:val="21"/>
        </w:rPr>
        <w:t>目    录</w:t>
      </w:r>
    </w:p>
    <w:p>
      <w:pPr>
        <w:pStyle w:val="21"/>
        <w:tabs>
          <w:tab w:val="right" w:leader="dot" w:pos="8504"/>
        </w:tabs>
      </w:pPr>
      <w:r>
        <w:rPr>
          <w:rFonts w:ascii="宋体" w:hAnsi="宋体"/>
          <w:szCs w:val="21"/>
        </w:rPr>
        <w:fldChar w:fldCharType="begin"/>
      </w:r>
      <w:r>
        <w:rPr>
          <w:rFonts w:ascii="宋体" w:hAnsi="宋体"/>
          <w:szCs w:val="21"/>
        </w:rPr>
        <w:instrText xml:space="preserve"> TOC \o "1-2" \h \z </w:instrText>
      </w:r>
      <w:r>
        <w:rPr>
          <w:rFonts w:ascii="宋体" w:hAnsi="宋体"/>
          <w:szCs w:val="21"/>
        </w:rPr>
        <w:fldChar w:fldCharType="separate"/>
      </w:r>
      <w:r>
        <w:rPr>
          <w:rFonts w:ascii="宋体" w:hAnsi="宋体"/>
          <w:szCs w:val="21"/>
        </w:rPr>
        <w:fldChar w:fldCharType="begin"/>
      </w:r>
      <w:r>
        <w:rPr>
          <w:rFonts w:ascii="宋体" w:hAnsi="宋体"/>
          <w:szCs w:val="21"/>
        </w:rPr>
        <w:instrText xml:space="preserve"> HYPERLINK \l _Toc15108 </w:instrText>
      </w:r>
      <w:r>
        <w:rPr>
          <w:rFonts w:ascii="宋体" w:hAnsi="宋体"/>
          <w:szCs w:val="21"/>
        </w:rPr>
        <w:fldChar w:fldCharType="separate"/>
      </w:r>
      <w:r>
        <w:rPr>
          <w:rFonts w:hint="eastAsia" w:ascii="宋体" w:hAnsi="宋体" w:eastAsia="宋体"/>
          <w:szCs w:val="21"/>
        </w:rPr>
        <w:t>一、基金托管协议当事人</w:t>
      </w:r>
      <w:r>
        <w:tab/>
      </w:r>
      <w:r>
        <w:fldChar w:fldCharType="begin"/>
      </w:r>
      <w:r>
        <w:instrText xml:space="preserve"> PAGEREF _Toc15108 \h </w:instrText>
      </w:r>
      <w:r>
        <w:fldChar w:fldCharType="separate"/>
      </w:r>
      <w:r>
        <w:t>1</w:t>
      </w:r>
      <w:r>
        <w:fldChar w:fldCharType="end"/>
      </w:r>
      <w:r>
        <w:rPr>
          <w:rFonts w:ascii="宋体" w:hAnsi="宋体"/>
          <w:szCs w:val="21"/>
        </w:rPr>
        <w:fldChar w:fldCharType="end"/>
      </w:r>
    </w:p>
    <w:p>
      <w:pPr>
        <w:pStyle w:val="21"/>
        <w:tabs>
          <w:tab w:val="right" w:leader="dot" w:pos="8504"/>
        </w:tabs>
      </w:pPr>
      <w:r>
        <w:rPr>
          <w:rFonts w:ascii="宋体" w:hAnsi="宋体"/>
          <w:szCs w:val="21"/>
        </w:rPr>
        <w:fldChar w:fldCharType="begin"/>
      </w:r>
      <w:r>
        <w:rPr>
          <w:rFonts w:ascii="宋体" w:hAnsi="宋体"/>
          <w:szCs w:val="21"/>
        </w:rPr>
        <w:instrText xml:space="preserve"> HYPERLINK \l _Toc14662 </w:instrText>
      </w:r>
      <w:r>
        <w:rPr>
          <w:rFonts w:ascii="宋体" w:hAnsi="宋体"/>
          <w:szCs w:val="21"/>
        </w:rPr>
        <w:fldChar w:fldCharType="separate"/>
      </w:r>
      <w:r>
        <w:rPr>
          <w:rFonts w:hint="eastAsia" w:ascii="宋体" w:hAnsi="宋体" w:eastAsia="宋体"/>
          <w:szCs w:val="21"/>
        </w:rPr>
        <w:t>二、基金托管协议的依据、目的和原则</w:t>
      </w:r>
      <w:r>
        <w:tab/>
      </w:r>
      <w:r>
        <w:fldChar w:fldCharType="begin"/>
      </w:r>
      <w:r>
        <w:instrText xml:space="preserve"> PAGEREF _Toc14662 \h </w:instrText>
      </w:r>
      <w:r>
        <w:fldChar w:fldCharType="separate"/>
      </w:r>
      <w:r>
        <w:t>2</w:t>
      </w:r>
      <w:r>
        <w:fldChar w:fldCharType="end"/>
      </w:r>
      <w:r>
        <w:rPr>
          <w:rFonts w:ascii="宋体" w:hAnsi="宋体"/>
          <w:szCs w:val="21"/>
        </w:rPr>
        <w:fldChar w:fldCharType="end"/>
      </w:r>
    </w:p>
    <w:p>
      <w:pPr>
        <w:pStyle w:val="21"/>
        <w:tabs>
          <w:tab w:val="right" w:leader="dot" w:pos="8504"/>
        </w:tabs>
      </w:pPr>
      <w:r>
        <w:rPr>
          <w:rFonts w:ascii="宋体" w:hAnsi="宋体"/>
          <w:szCs w:val="21"/>
        </w:rPr>
        <w:fldChar w:fldCharType="begin"/>
      </w:r>
      <w:r>
        <w:rPr>
          <w:rFonts w:ascii="宋体" w:hAnsi="宋体"/>
          <w:szCs w:val="21"/>
        </w:rPr>
        <w:instrText xml:space="preserve"> HYPERLINK \l _Toc20349 </w:instrText>
      </w:r>
      <w:r>
        <w:rPr>
          <w:rFonts w:ascii="宋体" w:hAnsi="宋体"/>
          <w:szCs w:val="21"/>
        </w:rPr>
        <w:fldChar w:fldCharType="separate"/>
      </w:r>
      <w:r>
        <w:rPr>
          <w:rFonts w:hint="eastAsia" w:ascii="宋体" w:hAnsi="宋体" w:eastAsia="宋体"/>
          <w:szCs w:val="21"/>
        </w:rPr>
        <w:t>三、基金托管人对基金管理人的业务监督和核查</w:t>
      </w:r>
      <w:r>
        <w:tab/>
      </w:r>
      <w:r>
        <w:fldChar w:fldCharType="begin"/>
      </w:r>
      <w:r>
        <w:instrText xml:space="preserve"> PAGEREF _Toc20349 \h </w:instrText>
      </w:r>
      <w:r>
        <w:fldChar w:fldCharType="separate"/>
      </w:r>
      <w:r>
        <w:t>3</w:t>
      </w:r>
      <w:r>
        <w:fldChar w:fldCharType="end"/>
      </w:r>
      <w:r>
        <w:rPr>
          <w:rFonts w:ascii="宋体" w:hAnsi="宋体"/>
          <w:szCs w:val="21"/>
        </w:rPr>
        <w:fldChar w:fldCharType="end"/>
      </w:r>
    </w:p>
    <w:p>
      <w:pPr>
        <w:pStyle w:val="21"/>
        <w:tabs>
          <w:tab w:val="right" w:leader="dot" w:pos="8504"/>
        </w:tabs>
      </w:pPr>
      <w:r>
        <w:rPr>
          <w:rFonts w:ascii="宋体" w:hAnsi="宋体"/>
          <w:szCs w:val="21"/>
        </w:rPr>
        <w:fldChar w:fldCharType="begin"/>
      </w:r>
      <w:r>
        <w:rPr>
          <w:rFonts w:ascii="宋体" w:hAnsi="宋体"/>
          <w:szCs w:val="21"/>
        </w:rPr>
        <w:instrText xml:space="preserve"> HYPERLINK \l _Toc22287 </w:instrText>
      </w:r>
      <w:r>
        <w:rPr>
          <w:rFonts w:ascii="宋体" w:hAnsi="宋体"/>
          <w:szCs w:val="21"/>
        </w:rPr>
        <w:fldChar w:fldCharType="separate"/>
      </w:r>
      <w:r>
        <w:rPr>
          <w:rFonts w:hint="eastAsia" w:ascii="宋体" w:hAnsi="宋体" w:eastAsia="宋体"/>
          <w:szCs w:val="21"/>
        </w:rPr>
        <w:t>四、基金管理人对基金托管人的业务核查</w:t>
      </w:r>
      <w:bookmarkStart w:id="166" w:name="_GoBack"/>
      <w:bookmarkEnd w:id="166"/>
      <w:r>
        <w:tab/>
      </w:r>
      <w:r>
        <w:fldChar w:fldCharType="begin"/>
      </w:r>
      <w:r>
        <w:instrText xml:space="preserve"> PAGEREF _Toc22287 \h </w:instrText>
      </w:r>
      <w:r>
        <w:fldChar w:fldCharType="separate"/>
      </w:r>
      <w:r>
        <w:t>9</w:t>
      </w:r>
      <w:r>
        <w:fldChar w:fldCharType="end"/>
      </w:r>
      <w:r>
        <w:rPr>
          <w:rFonts w:ascii="宋体" w:hAnsi="宋体"/>
          <w:szCs w:val="21"/>
        </w:rPr>
        <w:fldChar w:fldCharType="end"/>
      </w:r>
    </w:p>
    <w:p>
      <w:pPr>
        <w:pStyle w:val="21"/>
        <w:tabs>
          <w:tab w:val="right" w:leader="dot" w:pos="8504"/>
        </w:tabs>
      </w:pPr>
      <w:r>
        <w:rPr>
          <w:rFonts w:ascii="宋体" w:hAnsi="宋体"/>
          <w:szCs w:val="21"/>
        </w:rPr>
        <w:fldChar w:fldCharType="begin"/>
      </w:r>
      <w:r>
        <w:rPr>
          <w:rFonts w:ascii="宋体" w:hAnsi="宋体"/>
          <w:szCs w:val="21"/>
        </w:rPr>
        <w:instrText xml:space="preserve"> HYPERLINK \l _Toc10787 </w:instrText>
      </w:r>
      <w:r>
        <w:rPr>
          <w:rFonts w:ascii="宋体" w:hAnsi="宋体"/>
          <w:szCs w:val="21"/>
        </w:rPr>
        <w:fldChar w:fldCharType="separate"/>
      </w:r>
      <w:r>
        <w:rPr>
          <w:rFonts w:hint="eastAsia" w:ascii="宋体" w:hAnsi="宋体" w:eastAsia="宋体"/>
          <w:szCs w:val="21"/>
        </w:rPr>
        <w:t>五、基金财产的保管</w:t>
      </w:r>
      <w:r>
        <w:tab/>
      </w:r>
      <w:r>
        <w:fldChar w:fldCharType="begin"/>
      </w:r>
      <w:r>
        <w:instrText xml:space="preserve"> PAGEREF _Toc10787 \h </w:instrText>
      </w:r>
      <w:r>
        <w:fldChar w:fldCharType="separate"/>
      </w:r>
      <w:r>
        <w:t>10</w:t>
      </w:r>
      <w:r>
        <w:fldChar w:fldCharType="end"/>
      </w:r>
      <w:r>
        <w:rPr>
          <w:rFonts w:ascii="宋体" w:hAnsi="宋体"/>
          <w:szCs w:val="21"/>
        </w:rPr>
        <w:fldChar w:fldCharType="end"/>
      </w:r>
    </w:p>
    <w:p>
      <w:pPr>
        <w:pStyle w:val="21"/>
        <w:tabs>
          <w:tab w:val="right" w:leader="dot" w:pos="8504"/>
        </w:tabs>
      </w:pPr>
      <w:r>
        <w:rPr>
          <w:rFonts w:ascii="宋体" w:hAnsi="宋体"/>
          <w:szCs w:val="21"/>
        </w:rPr>
        <w:fldChar w:fldCharType="begin"/>
      </w:r>
      <w:r>
        <w:rPr>
          <w:rFonts w:ascii="宋体" w:hAnsi="宋体"/>
          <w:szCs w:val="21"/>
        </w:rPr>
        <w:instrText xml:space="preserve"> HYPERLINK \l _Toc23099 </w:instrText>
      </w:r>
      <w:r>
        <w:rPr>
          <w:rFonts w:ascii="宋体" w:hAnsi="宋体"/>
          <w:szCs w:val="21"/>
        </w:rPr>
        <w:fldChar w:fldCharType="separate"/>
      </w:r>
      <w:r>
        <w:rPr>
          <w:rFonts w:hint="eastAsia" w:ascii="宋体" w:hAnsi="宋体" w:eastAsia="宋体"/>
          <w:szCs w:val="21"/>
        </w:rPr>
        <w:t>六、指令的发送、确认及执行</w:t>
      </w:r>
      <w:r>
        <w:tab/>
      </w:r>
      <w:r>
        <w:fldChar w:fldCharType="begin"/>
      </w:r>
      <w:r>
        <w:instrText xml:space="preserve"> PAGEREF _Toc23099 \h </w:instrText>
      </w:r>
      <w:r>
        <w:fldChar w:fldCharType="separate"/>
      </w:r>
      <w:r>
        <w:t>13</w:t>
      </w:r>
      <w:r>
        <w:fldChar w:fldCharType="end"/>
      </w:r>
      <w:r>
        <w:rPr>
          <w:rFonts w:ascii="宋体" w:hAnsi="宋体"/>
          <w:szCs w:val="21"/>
        </w:rPr>
        <w:fldChar w:fldCharType="end"/>
      </w:r>
    </w:p>
    <w:p>
      <w:pPr>
        <w:pStyle w:val="21"/>
        <w:tabs>
          <w:tab w:val="right" w:leader="dot" w:pos="8504"/>
        </w:tabs>
      </w:pPr>
      <w:r>
        <w:rPr>
          <w:rFonts w:ascii="宋体" w:hAnsi="宋体"/>
          <w:szCs w:val="21"/>
        </w:rPr>
        <w:fldChar w:fldCharType="begin"/>
      </w:r>
      <w:r>
        <w:rPr>
          <w:rFonts w:ascii="宋体" w:hAnsi="宋体"/>
          <w:szCs w:val="21"/>
        </w:rPr>
        <w:instrText xml:space="preserve"> HYPERLINK \l _Toc23020 </w:instrText>
      </w:r>
      <w:r>
        <w:rPr>
          <w:rFonts w:ascii="宋体" w:hAnsi="宋体"/>
          <w:szCs w:val="21"/>
        </w:rPr>
        <w:fldChar w:fldCharType="separate"/>
      </w:r>
      <w:r>
        <w:rPr>
          <w:rFonts w:hint="eastAsia" w:ascii="宋体" w:hAnsi="宋体" w:eastAsia="宋体"/>
          <w:szCs w:val="21"/>
        </w:rPr>
        <w:t>七、交易及清算交收安排</w:t>
      </w:r>
      <w:r>
        <w:tab/>
      </w:r>
      <w:r>
        <w:fldChar w:fldCharType="begin"/>
      </w:r>
      <w:r>
        <w:instrText xml:space="preserve"> PAGEREF _Toc23020 \h </w:instrText>
      </w:r>
      <w:r>
        <w:fldChar w:fldCharType="separate"/>
      </w:r>
      <w:r>
        <w:t>15</w:t>
      </w:r>
      <w:r>
        <w:fldChar w:fldCharType="end"/>
      </w:r>
      <w:r>
        <w:rPr>
          <w:rFonts w:ascii="宋体" w:hAnsi="宋体"/>
          <w:szCs w:val="21"/>
        </w:rPr>
        <w:fldChar w:fldCharType="end"/>
      </w:r>
    </w:p>
    <w:p>
      <w:pPr>
        <w:pStyle w:val="21"/>
        <w:tabs>
          <w:tab w:val="right" w:leader="dot" w:pos="8504"/>
        </w:tabs>
      </w:pPr>
      <w:r>
        <w:rPr>
          <w:rFonts w:ascii="宋体" w:hAnsi="宋体"/>
          <w:szCs w:val="21"/>
        </w:rPr>
        <w:fldChar w:fldCharType="begin"/>
      </w:r>
      <w:r>
        <w:rPr>
          <w:rFonts w:ascii="宋体" w:hAnsi="宋体"/>
          <w:szCs w:val="21"/>
        </w:rPr>
        <w:instrText xml:space="preserve"> HYPERLINK \l _Toc18206 </w:instrText>
      </w:r>
      <w:r>
        <w:rPr>
          <w:rFonts w:ascii="宋体" w:hAnsi="宋体"/>
          <w:szCs w:val="21"/>
        </w:rPr>
        <w:fldChar w:fldCharType="separate"/>
      </w:r>
      <w:r>
        <w:rPr>
          <w:rFonts w:hint="eastAsia" w:ascii="宋体" w:hAnsi="宋体" w:eastAsia="宋体"/>
          <w:szCs w:val="21"/>
        </w:rPr>
        <w:t>八、基金资产净值计算和会计核算</w:t>
      </w:r>
      <w:r>
        <w:tab/>
      </w:r>
      <w:r>
        <w:fldChar w:fldCharType="begin"/>
      </w:r>
      <w:r>
        <w:instrText xml:space="preserve"> PAGEREF _Toc18206 \h </w:instrText>
      </w:r>
      <w:r>
        <w:fldChar w:fldCharType="separate"/>
      </w:r>
      <w:r>
        <w:t>20</w:t>
      </w:r>
      <w:r>
        <w:fldChar w:fldCharType="end"/>
      </w:r>
      <w:r>
        <w:rPr>
          <w:rFonts w:ascii="宋体" w:hAnsi="宋体"/>
          <w:szCs w:val="21"/>
        </w:rPr>
        <w:fldChar w:fldCharType="end"/>
      </w:r>
    </w:p>
    <w:p>
      <w:pPr>
        <w:pStyle w:val="21"/>
        <w:tabs>
          <w:tab w:val="right" w:leader="dot" w:pos="8504"/>
        </w:tabs>
      </w:pPr>
      <w:r>
        <w:rPr>
          <w:rFonts w:ascii="宋体" w:hAnsi="宋体"/>
          <w:szCs w:val="21"/>
        </w:rPr>
        <w:fldChar w:fldCharType="begin"/>
      </w:r>
      <w:r>
        <w:rPr>
          <w:rFonts w:ascii="宋体" w:hAnsi="宋体"/>
          <w:szCs w:val="21"/>
        </w:rPr>
        <w:instrText xml:space="preserve"> HYPERLINK \l _Toc9771 </w:instrText>
      </w:r>
      <w:r>
        <w:rPr>
          <w:rFonts w:ascii="宋体" w:hAnsi="宋体"/>
          <w:szCs w:val="21"/>
        </w:rPr>
        <w:fldChar w:fldCharType="separate"/>
      </w:r>
      <w:r>
        <w:rPr>
          <w:rFonts w:hint="eastAsia" w:ascii="宋体" w:hAnsi="宋体" w:eastAsia="宋体"/>
          <w:szCs w:val="21"/>
        </w:rPr>
        <w:t>九、基金收益分配</w:t>
      </w:r>
      <w:r>
        <w:tab/>
      </w:r>
      <w:r>
        <w:fldChar w:fldCharType="begin"/>
      </w:r>
      <w:r>
        <w:instrText xml:space="preserve"> PAGEREF _Toc9771 \h </w:instrText>
      </w:r>
      <w:r>
        <w:fldChar w:fldCharType="separate"/>
      </w:r>
      <w:r>
        <w:t>24</w:t>
      </w:r>
      <w:r>
        <w:fldChar w:fldCharType="end"/>
      </w:r>
      <w:r>
        <w:rPr>
          <w:rFonts w:ascii="宋体" w:hAnsi="宋体"/>
          <w:szCs w:val="21"/>
        </w:rPr>
        <w:fldChar w:fldCharType="end"/>
      </w:r>
    </w:p>
    <w:p>
      <w:pPr>
        <w:pStyle w:val="21"/>
        <w:tabs>
          <w:tab w:val="right" w:leader="dot" w:pos="8504"/>
        </w:tabs>
      </w:pPr>
      <w:r>
        <w:rPr>
          <w:rFonts w:ascii="宋体" w:hAnsi="宋体"/>
          <w:szCs w:val="21"/>
        </w:rPr>
        <w:fldChar w:fldCharType="begin"/>
      </w:r>
      <w:r>
        <w:rPr>
          <w:rFonts w:ascii="宋体" w:hAnsi="宋体"/>
          <w:szCs w:val="21"/>
        </w:rPr>
        <w:instrText xml:space="preserve"> HYPERLINK \l _Toc4808 </w:instrText>
      </w:r>
      <w:r>
        <w:rPr>
          <w:rFonts w:ascii="宋体" w:hAnsi="宋体"/>
          <w:szCs w:val="21"/>
        </w:rPr>
        <w:fldChar w:fldCharType="separate"/>
      </w:r>
      <w:r>
        <w:rPr>
          <w:rFonts w:hint="eastAsia" w:ascii="宋体" w:hAnsi="宋体" w:eastAsia="宋体"/>
          <w:szCs w:val="21"/>
        </w:rPr>
        <w:t>十、基金信息披露</w:t>
      </w:r>
      <w:r>
        <w:tab/>
      </w:r>
      <w:r>
        <w:fldChar w:fldCharType="begin"/>
      </w:r>
      <w:r>
        <w:instrText xml:space="preserve"> PAGEREF _Toc4808 \h </w:instrText>
      </w:r>
      <w:r>
        <w:fldChar w:fldCharType="separate"/>
      </w:r>
      <w:r>
        <w:t>25</w:t>
      </w:r>
      <w:r>
        <w:fldChar w:fldCharType="end"/>
      </w:r>
      <w:r>
        <w:rPr>
          <w:rFonts w:ascii="宋体" w:hAnsi="宋体"/>
          <w:szCs w:val="21"/>
        </w:rPr>
        <w:fldChar w:fldCharType="end"/>
      </w:r>
    </w:p>
    <w:p>
      <w:pPr>
        <w:pStyle w:val="21"/>
        <w:tabs>
          <w:tab w:val="right" w:leader="dot" w:pos="8504"/>
        </w:tabs>
      </w:pPr>
      <w:r>
        <w:rPr>
          <w:rFonts w:ascii="宋体" w:hAnsi="宋体"/>
          <w:szCs w:val="21"/>
        </w:rPr>
        <w:fldChar w:fldCharType="begin"/>
      </w:r>
      <w:r>
        <w:rPr>
          <w:rFonts w:ascii="宋体" w:hAnsi="宋体"/>
          <w:szCs w:val="21"/>
        </w:rPr>
        <w:instrText xml:space="preserve"> HYPERLINK \l _Toc30354 </w:instrText>
      </w:r>
      <w:r>
        <w:rPr>
          <w:rFonts w:ascii="宋体" w:hAnsi="宋体"/>
          <w:szCs w:val="21"/>
        </w:rPr>
        <w:fldChar w:fldCharType="separate"/>
      </w:r>
      <w:r>
        <w:rPr>
          <w:rFonts w:hint="eastAsia" w:ascii="宋体" w:hAnsi="宋体" w:eastAsia="宋体"/>
          <w:szCs w:val="21"/>
        </w:rPr>
        <w:t>十一、基金费用</w:t>
      </w:r>
      <w:r>
        <w:tab/>
      </w:r>
      <w:r>
        <w:fldChar w:fldCharType="begin"/>
      </w:r>
      <w:r>
        <w:instrText xml:space="preserve"> PAGEREF _Toc30354 \h </w:instrText>
      </w:r>
      <w:r>
        <w:fldChar w:fldCharType="separate"/>
      </w:r>
      <w:r>
        <w:t>27</w:t>
      </w:r>
      <w:r>
        <w:fldChar w:fldCharType="end"/>
      </w:r>
      <w:r>
        <w:rPr>
          <w:rFonts w:ascii="宋体" w:hAnsi="宋体"/>
          <w:szCs w:val="21"/>
        </w:rPr>
        <w:fldChar w:fldCharType="end"/>
      </w:r>
    </w:p>
    <w:p>
      <w:pPr>
        <w:pStyle w:val="21"/>
        <w:tabs>
          <w:tab w:val="right" w:leader="dot" w:pos="8504"/>
        </w:tabs>
      </w:pPr>
      <w:r>
        <w:rPr>
          <w:rFonts w:ascii="宋体" w:hAnsi="宋体"/>
          <w:szCs w:val="21"/>
        </w:rPr>
        <w:fldChar w:fldCharType="begin"/>
      </w:r>
      <w:r>
        <w:rPr>
          <w:rFonts w:ascii="宋体" w:hAnsi="宋体"/>
          <w:szCs w:val="21"/>
        </w:rPr>
        <w:instrText xml:space="preserve"> HYPERLINK \l _Toc14721 </w:instrText>
      </w:r>
      <w:r>
        <w:rPr>
          <w:rFonts w:ascii="宋体" w:hAnsi="宋体"/>
          <w:szCs w:val="21"/>
        </w:rPr>
        <w:fldChar w:fldCharType="separate"/>
      </w:r>
      <w:r>
        <w:rPr>
          <w:rFonts w:hint="eastAsia" w:ascii="宋体" w:hAnsi="宋体" w:eastAsia="宋体"/>
          <w:szCs w:val="21"/>
        </w:rPr>
        <w:t>十二、基金份额持有人名册的保管</w:t>
      </w:r>
      <w:r>
        <w:tab/>
      </w:r>
      <w:r>
        <w:fldChar w:fldCharType="begin"/>
      </w:r>
      <w:r>
        <w:instrText xml:space="preserve"> PAGEREF _Toc14721 \h </w:instrText>
      </w:r>
      <w:r>
        <w:fldChar w:fldCharType="separate"/>
      </w:r>
      <w:r>
        <w:t>29</w:t>
      </w:r>
      <w:r>
        <w:fldChar w:fldCharType="end"/>
      </w:r>
      <w:r>
        <w:rPr>
          <w:rFonts w:ascii="宋体" w:hAnsi="宋体"/>
          <w:szCs w:val="21"/>
        </w:rPr>
        <w:fldChar w:fldCharType="end"/>
      </w:r>
    </w:p>
    <w:p>
      <w:pPr>
        <w:pStyle w:val="21"/>
        <w:tabs>
          <w:tab w:val="right" w:leader="dot" w:pos="8504"/>
        </w:tabs>
      </w:pPr>
      <w:r>
        <w:rPr>
          <w:rFonts w:ascii="宋体" w:hAnsi="宋体"/>
          <w:szCs w:val="21"/>
        </w:rPr>
        <w:fldChar w:fldCharType="begin"/>
      </w:r>
      <w:r>
        <w:rPr>
          <w:rFonts w:ascii="宋体" w:hAnsi="宋体"/>
          <w:szCs w:val="21"/>
        </w:rPr>
        <w:instrText xml:space="preserve"> HYPERLINK \l _Toc9278 </w:instrText>
      </w:r>
      <w:r>
        <w:rPr>
          <w:rFonts w:ascii="宋体" w:hAnsi="宋体"/>
          <w:szCs w:val="21"/>
        </w:rPr>
        <w:fldChar w:fldCharType="separate"/>
      </w:r>
      <w:r>
        <w:rPr>
          <w:rFonts w:hint="eastAsia" w:ascii="宋体" w:hAnsi="宋体" w:eastAsia="宋体"/>
          <w:szCs w:val="21"/>
        </w:rPr>
        <w:t>十三、基金有关文件档案的保存</w:t>
      </w:r>
      <w:r>
        <w:tab/>
      </w:r>
      <w:r>
        <w:fldChar w:fldCharType="begin"/>
      </w:r>
      <w:r>
        <w:instrText xml:space="preserve"> PAGEREF _Toc9278 \h </w:instrText>
      </w:r>
      <w:r>
        <w:fldChar w:fldCharType="separate"/>
      </w:r>
      <w:r>
        <w:t>30</w:t>
      </w:r>
      <w:r>
        <w:fldChar w:fldCharType="end"/>
      </w:r>
      <w:r>
        <w:rPr>
          <w:rFonts w:ascii="宋体" w:hAnsi="宋体"/>
          <w:szCs w:val="21"/>
        </w:rPr>
        <w:fldChar w:fldCharType="end"/>
      </w:r>
    </w:p>
    <w:p>
      <w:pPr>
        <w:pStyle w:val="21"/>
        <w:tabs>
          <w:tab w:val="right" w:leader="dot" w:pos="8504"/>
        </w:tabs>
      </w:pPr>
      <w:r>
        <w:rPr>
          <w:rFonts w:ascii="宋体" w:hAnsi="宋体"/>
          <w:szCs w:val="21"/>
        </w:rPr>
        <w:fldChar w:fldCharType="begin"/>
      </w:r>
      <w:r>
        <w:rPr>
          <w:rFonts w:ascii="宋体" w:hAnsi="宋体"/>
          <w:szCs w:val="21"/>
        </w:rPr>
        <w:instrText xml:space="preserve"> HYPERLINK \l _Toc3609 </w:instrText>
      </w:r>
      <w:r>
        <w:rPr>
          <w:rFonts w:ascii="宋体" w:hAnsi="宋体"/>
          <w:szCs w:val="21"/>
        </w:rPr>
        <w:fldChar w:fldCharType="separate"/>
      </w:r>
      <w:r>
        <w:rPr>
          <w:rFonts w:hint="eastAsia" w:ascii="宋体" w:hAnsi="宋体" w:eastAsia="宋体"/>
          <w:szCs w:val="21"/>
        </w:rPr>
        <w:t>十四、基金管理人和基金托管人的更换</w:t>
      </w:r>
      <w:r>
        <w:tab/>
      </w:r>
      <w:r>
        <w:fldChar w:fldCharType="begin"/>
      </w:r>
      <w:r>
        <w:instrText xml:space="preserve"> PAGEREF _Toc3609 \h </w:instrText>
      </w:r>
      <w:r>
        <w:fldChar w:fldCharType="separate"/>
      </w:r>
      <w:r>
        <w:t>31</w:t>
      </w:r>
      <w:r>
        <w:fldChar w:fldCharType="end"/>
      </w:r>
      <w:r>
        <w:rPr>
          <w:rFonts w:ascii="宋体" w:hAnsi="宋体"/>
          <w:szCs w:val="21"/>
        </w:rPr>
        <w:fldChar w:fldCharType="end"/>
      </w:r>
    </w:p>
    <w:p>
      <w:pPr>
        <w:pStyle w:val="21"/>
        <w:tabs>
          <w:tab w:val="right" w:leader="dot" w:pos="8504"/>
        </w:tabs>
      </w:pPr>
      <w:r>
        <w:rPr>
          <w:rFonts w:ascii="宋体" w:hAnsi="宋体"/>
          <w:szCs w:val="21"/>
        </w:rPr>
        <w:fldChar w:fldCharType="begin"/>
      </w:r>
      <w:r>
        <w:rPr>
          <w:rFonts w:ascii="宋体" w:hAnsi="宋体"/>
          <w:szCs w:val="21"/>
        </w:rPr>
        <w:instrText xml:space="preserve"> HYPERLINK \l _Toc17469 </w:instrText>
      </w:r>
      <w:r>
        <w:rPr>
          <w:rFonts w:ascii="宋体" w:hAnsi="宋体"/>
          <w:szCs w:val="21"/>
        </w:rPr>
        <w:fldChar w:fldCharType="separate"/>
      </w:r>
      <w:r>
        <w:rPr>
          <w:rFonts w:hint="eastAsia" w:ascii="宋体" w:hAnsi="宋体" w:eastAsia="宋体"/>
          <w:szCs w:val="21"/>
        </w:rPr>
        <w:t>十五、禁止行为</w:t>
      </w:r>
      <w:r>
        <w:tab/>
      </w:r>
      <w:r>
        <w:fldChar w:fldCharType="begin"/>
      </w:r>
      <w:r>
        <w:instrText xml:space="preserve"> PAGEREF _Toc17469 \h </w:instrText>
      </w:r>
      <w:r>
        <w:fldChar w:fldCharType="separate"/>
      </w:r>
      <w:r>
        <w:t>33</w:t>
      </w:r>
      <w:r>
        <w:fldChar w:fldCharType="end"/>
      </w:r>
      <w:r>
        <w:rPr>
          <w:rFonts w:ascii="宋体" w:hAnsi="宋体"/>
          <w:szCs w:val="21"/>
        </w:rPr>
        <w:fldChar w:fldCharType="end"/>
      </w:r>
    </w:p>
    <w:p>
      <w:pPr>
        <w:pStyle w:val="21"/>
        <w:tabs>
          <w:tab w:val="right" w:leader="dot" w:pos="8504"/>
        </w:tabs>
      </w:pPr>
      <w:r>
        <w:rPr>
          <w:rFonts w:ascii="宋体" w:hAnsi="宋体"/>
          <w:szCs w:val="21"/>
        </w:rPr>
        <w:fldChar w:fldCharType="begin"/>
      </w:r>
      <w:r>
        <w:rPr>
          <w:rFonts w:ascii="宋体" w:hAnsi="宋体"/>
          <w:szCs w:val="21"/>
        </w:rPr>
        <w:instrText xml:space="preserve"> HYPERLINK \l _Toc12515 </w:instrText>
      </w:r>
      <w:r>
        <w:rPr>
          <w:rFonts w:ascii="宋体" w:hAnsi="宋体"/>
          <w:szCs w:val="21"/>
        </w:rPr>
        <w:fldChar w:fldCharType="separate"/>
      </w:r>
      <w:r>
        <w:rPr>
          <w:rFonts w:hint="eastAsia" w:ascii="宋体" w:hAnsi="宋体" w:eastAsia="宋体"/>
          <w:szCs w:val="21"/>
        </w:rPr>
        <w:t>十六、托管协议的变更、终止与基金财产的清算</w:t>
      </w:r>
      <w:r>
        <w:tab/>
      </w:r>
      <w:r>
        <w:fldChar w:fldCharType="begin"/>
      </w:r>
      <w:r>
        <w:instrText xml:space="preserve"> PAGEREF _Toc12515 \h </w:instrText>
      </w:r>
      <w:r>
        <w:fldChar w:fldCharType="separate"/>
      </w:r>
      <w:r>
        <w:t>34</w:t>
      </w:r>
      <w:r>
        <w:fldChar w:fldCharType="end"/>
      </w:r>
      <w:r>
        <w:rPr>
          <w:rFonts w:ascii="宋体" w:hAnsi="宋体"/>
          <w:szCs w:val="21"/>
        </w:rPr>
        <w:fldChar w:fldCharType="end"/>
      </w:r>
    </w:p>
    <w:p>
      <w:pPr>
        <w:pStyle w:val="21"/>
        <w:tabs>
          <w:tab w:val="right" w:leader="dot" w:pos="8504"/>
        </w:tabs>
      </w:pPr>
      <w:r>
        <w:rPr>
          <w:rFonts w:ascii="宋体" w:hAnsi="宋体"/>
          <w:szCs w:val="21"/>
        </w:rPr>
        <w:fldChar w:fldCharType="begin"/>
      </w:r>
      <w:r>
        <w:rPr>
          <w:rFonts w:ascii="宋体" w:hAnsi="宋体"/>
          <w:szCs w:val="21"/>
        </w:rPr>
        <w:instrText xml:space="preserve"> HYPERLINK \l _Toc16173 </w:instrText>
      </w:r>
      <w:r>
        <w:rPr>
          <w:rFonts w:ascii="宋体" w:hAnsi="宋体"/>
          <w:szCs w:val="21"/>
        </w:rPr>
        <w:fldChar w:fldCharType="separate"/>
      </w:r>
      <w:r>
        <w:rPr>
          <w:rFonts w:hint="eastAsia" w:ascii="宋体" w:hAnsi="宋体" w:eastAsia="宋体"/>
          <w:szCs w:val="21"/>
        </w:rPr>
        <w:t>十七、违约责任</w:t>
      </w:r>
      <w:r>
        <w:tab/>
      </w:r>
      <w:r>
        <w:fldChar w:fldCharType="begin"/>
      </w:r>
      <w:r>
        <w:instrText xml:space="preserve"> PAGEREF _Toc16173 \h </w:instrText>
      </w:r>
      <w:r>
        <w:fldChar w:fldCharType="separate"/>
      </w:r>
      <w:r>
        <w:t>36</w:t>
      </w:r>
      <w:r>
        <w:fldChar w:fldCharType="end"/>
      </w:r>
      <w:r>
        <w:rPr>
          <w:rFonts w:ascii="宋体" w:hAnsi="宋体"/>
          <w:szCs w:val="21"/>
        </w:rPr>
        <w:fldChar w:fldCharType="end"/>
      </w:r>
    </w:p>
    <w:p>
      <w:pPr>
        <w:pStyle w:val="21"/>
        <w:tabs>
          <w:tab w:val="right" w:leader="dot" w:pos="8504"/>
        </w:tabs>
      </w:pPr>
      <w:r>
        <w:rPr>
          <w:rFonts w:ascii="宋体" w:hAnsi="宋体"/>
          <w:szCs w:val="21"/>
        </w:rPr>
        <w:fldChar w:fldCharType="begin"/>
      </w:r>
      <w:r>
        <w:rPr>
          <w:rFonts w:ascii="宋体" w:hAnsi="宋体"/>
          <w:szCs w:val="21"/>
        </w:rPr>
        <w:instrText xml:space="preserve"> HYPERLINK \l _Toc21325 </w:instrText>
      </w:r>
      <w:r>
        <w:rPr>
          <w:rFonts w:ascii="宋体" w:hAnsi="宋体"/>
          <w:szCs w:val="21"/>
        </w:rPr>
        <w:fldChar w:fldCharType="separate"/>
      </w:r>
      <w:r>
        <w:rPr>
          <w:rFonts w:hint="eastAsia" w:ascii="宋体" w:hAnsi="宋体" w:eastAsia="宋体"/>
          <w:szCs w:val="21"/>
        </w:rPr>
        <w:t>十八、争议解决方式</w:t>
      </w:r>
      <w:r>
        <w:tab/>
      </w:r>
      <w:r>
        <w:fldChar w:fldCharType="begin"/>
      </w:r>
      <w:r>
        <w:instrText xml:space="preserve"> PAGEREF _Toc21325 \h </w:instrText>
      </w:r>
      <w:r>
        <w:fldChar w:fldCharType="separate"/>
      </w:r>
      <w:r>
        <w:t>37</w:t>
      </w:r>
      <w:r>
        <w:fldChar w:fldCharType="end"/>
      </w:r>
      <w:r>
        <w:rPr>
          <w:rFonts w:ascii="宋体" w:hAnsi="宋体"/>
          <w:szCs w:val="21"/>
        </w:rPr>
        <w:fldChar w:fldCharType="end"/>
      </w:r>
    </w:p>
    <w:p>
      <w:pPr>
        <w:pStyle w:val="21"/>
        <w:tabs>
          <w:tab w:val="right" w:leader="dot" w:pos="8504"/>
        </w:tabs>
      </w:pPr>
      <w:r>
        <w:rPr>
          <w:rFonts w:ascii="宋体" w:hAnsi="宋体"/>
          <w:szCs w:val="21"/>
        </w:rPr>
        <w:fldChar w:fldCharType="begin"/>
      </w:r>
      <w:r>
        <w:rPr>
          <w:rFonts w:ascii="宋体" w:hAnsi="宋体"/>
          <w:szCs w:val="21"/>
        </w:rPr>
        <w:instrText xml:space="preserve"> HYPERLINK \l _Toc26339 </w:instrText>
      </w:r>
      <w:r>
        <w:rPr>
          <w:rFonts w:ascii="宋体" w:hAnsi="宋体"/>
          <w:szCs w:val="21"/>
        </w:rPr>
        <w:fldChar w:fldCharType="separate"/>
      </w:r>
      <w:r>
        <w:rPr>
          <w:rFonts w:hint="eastAsia" w:ascii="宋体" w:hAnsi="宋体" w:eastAsia="宋体"/>
          <w:szCs w:val="21"/>
        </w:rPr>
        <w:t>十九、托管协议的效力</w:t>
      </w:r>
      <w:r>
        <w:tab/>
      </w:r>
      <w:r>
        <w:fldChar w:fldCharType="begin"/>
      </w:r>
      <w:r>
        <w:instrText xml:space="preserve"> PAGEREF _Toc26339 \h </w:instrText>
      </w:r>
      <w:r>
        <w:fldChar w:fldCharType="separate"/>
      </w:r>
      <w:r>
        <w:t>38</w:t>
      </w:r>
      <w:r>
        <w:fldChar w:fldCharType="end"/>
      </w:r>
      <w:r>
        <w:rPr>
          <w:rFonts w:ascii="宋体" w:hAnsi="宋体"/>
          <w:szCs w:val="21"/>
        </w:rPr>
        <w:fldChar w:fldCharType="end"/>
      </w:r>
    </w:p>
    <w:p>
      <w:pPr>
        <w:pStyle w:val="21"/>
        <w:tabs>
          <w:tab w:val="right" w:leader="dot" w:pos="8504"/>
        </w:tabs>
      </w:pPr>
      <w:r>
        <w:rPr>
          <w:rFonts w:ascii="宋体" w:hAnsi="宋体"/>
          <w:szCs w:val="21"/>
        </w:rPr>
        <w:fldChar w:fldCharType="begin"/>
      </w:r>
      <w:r>
        <w:rPr>
          <w:rFonts w:ascii="宋体" w:hAnsi="宋体"/>
          <w:szCs w:val="21"/>
        </w:rPr>
        <w:instrText xml:space="preserve"> HYPERLINK \l _Toc21875 </w:instrText>
      </w:r>
      <w:r>
        <w:rPr>
          <w:rFonts w:ascii="宋体" w:hAnsi="宋体"/>
          <w:szCs w:val="21"/>
        </w:rPr>
        <w:fldChar w:fldCharType="separate"/>
      </w:r>
      <w:r>
        <w:rPr>
          <w:rFonts w:hint="eastAsia" w:ascii="宋体" w:hAnsi="宋体" w:eastAsia="宋体"/>
          <w:szCs w:val="21"/>
        </w:rPr>
        <w:t>二十、其他事项</w:t>
      </w:r>
      <w:r>
        <w:tab/>
      </w:r>
      <w:r>
        <w:fldChar w:fldCharType="begin"/>
      </w:r>
      <w:r>
        <w:instrText xml:space="preserve"> PAGEREF _Toc21875 \h </w:instrText>
      </w:r>
      <w:r>
        <w:fldChar w:fldCharType="separate"/>
      </w:r>
      <w:r>
        <w:t>39</w:t>
      </w:r>
      <w:r>
        <w:fldChar w:fldCharType="end"/>
      </w:r>
      <w:r>
        <w:rPr>
          <w:rFonts w:ascii="宋体" w:hAnsi="宋体"/>
          <w:szCs w:val="21"/>
        </w:rPr>
        <w:fldChar w:fldCharType="end"/>
      </w:r>
    </w:p>
    <w:p>
      <w:pPr>
        <w:pStyle w:val="21"/>
        <w:tabs>
          <w:tab w:val="right" w:leader="dot" w:pos="8504"/>
        </w:tabs>
      </w:pPr>
      <w:r>
        <w:rPr>
          <w:rFonts w:ascii="宋体" w:hAnsi="宋体"/>
          <w:szCs w:val="21"/>
        </w:rPr>
        <w:fldChar w:fldCharType="begin"/>
      </w:r>
      <w:r>
        <w:rPr>
          <w:rFonts w:ascii="宋体" w:hAnsi="宋体"/>
          <w:szCs w:val="21"/>
        </w:rPr>
        <w:instrText xml:space="preserve"> HYPERLINK \l _Toc572 </w:instrText>
      </w:r>
      <w:r>
        <w:rPr>
          <w:rFonts w:ascii="宋体" w:hAnsi="宋体"/>
          <w:szCs w:val="21"/>
        </w:rPr>
        <w:fldChar w:fldCharType="separate"/>
      </w:r>
      <w:r>
        <w:rPr>
          <w:rFonts w:hint="eastAsia" w:ascii="宋体" w:hAnsi="宋体" w:eastAsia="宋体"/>
          <w:szCs w:val="21"/>
        </w:rPr>
        <w:t>二十一、托管协议的签订</w:t>
      </w:r>
      <w:r>
        <w:tab/>
      </w:r>
      <w:r>
        <w:fldChar w:fldCharType="begin"/>
      </w:r>
      <w:r>
        <w:instrText xml:space="preserve"> PAGEREF _Toc572 \h </w:instrText>
      </w:r>
      <w:r>
        <w:fldChar w:fldCharType="separate"/>
      </w:r>
      <w:r>
        <w:t>40</w:t>
      </w:r>
      <w:r>
        <w:fldChar w:fldCharType="end"/>
      </w:r>
      <w:r>
        <w:rPr>
          <w:rFonts w:ascii="宋体" w:hAnsi="宋体"/>
          <w:szCs w:val="21"/>
        </w:rPr>
        <w:fldChar w:fldCharType="end"/>
      </w:r>
    </w:p>
    <w:p>
      <w:pPr>
        <w:spacing w:line="276" w:lineRule="auto"/>
        <w:rPr>
          <w:rFonts w:ascii="宋体" w:hAnsi="宋体"/>
          <w:szCs w:val="21"/>
        </w:rPr>
      </w:pPr>
      <w:r>
        <w:rPr>
          <w:rFonts w:ascii="宋体" w:hAnsi="宋体"/>
          <w:szCs w:val="21"/>
        </w:rPr>
        <w:fldChar w:fldCharType="end"/>
      </w:r>
    </w:p>
    <w:bookmarkEnd w:id="2"/>
    <w:p>
      <w:pPr>
        <w:spacing w:line="360" w:lineRule="auto"/>
        <w:rPr>
          <w:rFonts w:ascii="宋体" w:hAnsi="宋体"/>
          <w:szCs w:val="21"/>
        </w:rPr>
        <w:sectPr>
          <w:headerReference r:id="rId4" w:type="default"/>
          <w:footerReference r:id="rId5" w:type="default"/>
          <w:pgSz w:w="11906" w:h="16838"/>
          <w:pgMar w:top="1418" w:right="1701" w:bottom="1418" w:left="1701" w:header="851" w:footer="992" w:gutter="0"/>
          <w:cols w:space="425" w:num="1"/>
          <w:docGrid w:type="lines" w:linePitch="312" w:charSpace="0"/>
        </w:sectPr>
      </w:pPr>
    </w:p>
    <w:p>
      <w:pPr>
        <w:spacing w:line="360" w:lineRule="auto"/>
        <w:rPr>
          <w:rFonts w:ascii="宋体" w:hAnsi="宋体"/>
          <w:szCs w:val="21"/>
        </w:rPr>
      </w:pPr>
      <w:bookmarkStart w:id="4" w:name="CLAUSE_ed3228f8cbe5436c8d0ca7cc9b4d4608"/>
      <w:r>
        <w:t xml:space="preserve"> </w:t>
      </w:r>
      <w:bookmarkStart w:id="5" w:name="CTS_ed3228f8cbe5436c8d0ca7cc9b4d4608"/>
      <w:bookmarkEnd w:id="5"/>
    </w:p>
    <w:p>
      <w:pPr>
        <w:widowControl/>
        <w:spacing w:line="360" w:lineRule="auto"/>
        <w:ind w:firstLine="420" w:firstLineChars="200"/>
        <w:rPr>
          <w:rFonts w:ascii="宋体" w:hAnsi="宋体" w:cs="Arial"/>
          <w:kern w:val="0"/>
          <w:szCs w:val="21"/>
        </w:rPr>
      </w:pPr>
      <w:r>
        <w:rPr>
          <w:rFonts w:hint="eastAsia" w:ascii="宋体" w:hAnsi="宋体" w:cs="Arial"/>
          <w:kern w:val="0"/>
          <w:szCs w:val="21"/>
        </w:rPr>
        <w:t>鉴于博时基金管理有限公司系一家依照中国法律合法成立并有效存续的有限责任公司，按照相关法律法规的规定具备担任基金管理人的资格和能力，拟募集发行博时中证国新央企现代能源交易型开放式指数证券投资基金发起式联接基金；</w:t>
      </w:r>
    </w:p>
    <w:p>
      <w:pPr>
        <w:widowControl/>
        <w:spacing w:line="360" w:lineRule="auto"/>
        <w:ind w:firstLine="420" w:firstLineChars="200"/>
        <w:rPr>
          <w:rFonts w:ascii="宋体" w:hAnsi="宋体" w:cs="Arial"/>
          <w:kern w:val="0"/>
          <w:szCs w:val="21"/>
        </w:rPr>
      </w:pPr>
      <w:r>
        <w:rPr>
          <w:rFonts w:hint="eastAsia" w:ascii="宋体" w:hAnsi="宋体" w:cs="Arial"/>
          <w:kern w:val="0"/>
          <w:szCs w:val="21"/>
        </w:rPr>
        <w:t>鉴于中国建设银行股份有限公司系一家依照中国法律合法成立并有效存续的银行，按照相关法律法规的规定具备担任基金托管人的资格和能力；</w:t>
      </w:r>
    </w:p>
    <w:p>
      <w:pPr>
        <w:widowControl/>
        <w:spacing w:line="360" w:lineRule="auto"/>
        <w:ind w:firstLine="420" w:firstLineChars="200"/>
        <w:rPr>
          <w:rFonts w:ascii="宋体" w:hAnsi="宋体" w:cs="Arial"/>
          <w:kern w:val="0"/>
          <w:szCs w:val="21"/>
        </w:rPr>
      </w:pPr>
      <w:r>
        <w:rPr>
          <w:rFonts w:hint="eastAsia" w:ascii="宋体" w:hAnsi="宋体" w:cs="Arial"/>
          <w:kern w:val="0"/>
          <w:szCs w:val="21"/>
        </w:rPr>
        <w:t>鉴于博时基金管理有限公司拟担任博时中证国新央企现代能源交易型开放式指数证券投资基金发起式联接基金的基金管理人，中国建设银行股份有限公司拟担任博时中证国新央企现代能源交易型开放式指数证券投资基金发起式联接基金的基金托管人；</w:t>
      </w:r>
    </w:p>
    <w:p>
      <w:pPr>
        <w:widowControl/>
        <w:spacing w:line="360" w:lineRule="auto"/>
        <w:ind w:firstLine="420" w:firstLineChars="200"/>
        <w:rPr>
          <w:rFonts w:ascii="宋体" w:hAnsi="宋体" w:cs="Arial"/>
          <w:kern w:val="0"/>
          <w:szCs w:val="21"/>
        </w:rPr>
      </w:pPr>
      <w:r>
        <w:rPr>
          <w:rFonts w:hint="eastAsia" w:ascii="宋体" w:hAnsi="宋体" w:cs="Arial"/>
          <w:kern w:val="0"/>
          <w:szCs w:val="21"/>
        </w:rPr>
        <w:t>为明确博时中证国新央企现代能源交易型开放式指数证券投资基金发起式联接基金的基金管理人和基金托管人之间的权利义务关系，特制订本托管协议；</w:t>
      </w:r>
    </w:p>
    <w:p>
      <w:pPr>
        <w:pStyle w:val="5"/>
        <w:spacing w:line="360" w:lineRule="auto"/>
        <w:rPr>
          <w:lang w:val="en-GB"/>
        </w:rPr>
      </w:pPr>
      <w:r>
        <w:rPr>
          <w:rFonts w:hint="eastAsia" w:ascii="宋体" w:hAnsi="宋体" w:cs="Arial"/>
          <w:kern w:val="0"/>
          <w:szCs w:val="21"/>
        </w:rPr>
        <w:t>除非另有约定，《博时中证国新央企现代能源交易型开放式指数证券投资基金发起式联接基金基金合同》(以下简称“《基金合同》”或“基金合同”)中定义的术语在用于本托管协议时应具有相同的含义；若有抵触应以《基金合同》为准，并依其条款解释。</w:t>
      </w:r>
    </w:p>
    <w:p>
      <w:pPr>
        <w:spacing w:line="360" w:lineRule="auto"/>
        <w:rPr>
          <w:rFonts w:ascii="宋体" w:hAnsi="宋体"/>
          <w:szCs w:val="21"/>
          <w:lang w:val="en-GB"/>
        </w:rPr>
      </w:pPr>
    </w:p>
    <w:bookmarkEnd w:id="4"/>
    <w:p>
      <w:pPr>
        <w:pStyle w:val="4"/>
        <w:spacing w:before="312" w:beforeLines="100" w:after="156" w:afterLines="50" w:line="360" w:lineRule="auto"/>
        <w:jc w:val="center"/>
        <w:rPr>
          <w:rFonts w:ascii="宋体" w:hAnsi="宋体" w:eastAsia="宋体"/>
          <w:sz w:val="21"/>
          <w:szCs w:val="21"/>
        </w:rPr>
        <w:sectPr>
          <w:footerReference r:id="rId6" w:type="default"/>
          <w:pgSz w:w="11906" w:h="16838"/>
          <w:pgMar w:top="1418" w:right="1701" w:bottom="1418" w:left="1701" w:header="851" w:footer="992" w:gutter="0"/>
          <w:cols w:space="425" w:num="1"/>
          <w:docGrid w:type="lines" w:linePitch="312" w:charSpace="0"/>
        </w:sectPr>
      </w:pPr>
    </w:p>
    <w:p>
      <w:pPr>
        <w:pStyle w:val="4"/>
        <w:spacing w:before="312" w:beforeLines="100" w:after="156" w:afterLines="50" w:line="360" w:lineRule="auto"/>
        <w:jc w:val="center"/>
        <w:rPr>
          <w:rFonts w:ascii="宋体" w:hAnsi="宋体" w:eastAsia="宋体"/>
          <w:sz w:val="21"/>
          <w:szCs w:val="21"/>
        </w:rPr>
      </w:pPr>
      <w:bookmarkStart w:id="6" w:name="_Toc348082029"/>
      <w:bookmarkStart w:id="7" w:name="CLAUSE_e6c52612739e40c7b6a584556b21c68d"/>
      <w:r>
        <w:t xml:space="preserve"> </w:t>
      </w:r>
      <w:bookmarkStart w:id="8" w:name="CTS_e6c52612739e40c7b6a584556b21c68d"/>
      <w:bookmarkEnd w:id="8"/>
      <w:bookmarkStart w:id="9" w:name="_Toc15108"/>
      <w:r>
        <w:rPr>
          <w:rFonts w:hint="eastAsia" w:ascii="宋体" w:hAnsi="宋体" w:eastAsia="宋体"/>
          <w:sz w:val="21"/>
          <w:szCs w:val="21"/>
        </w:rPr>
        <w:t>一、基金托管协议当事人</w:t>
      </w:r>
      <w:bookmarkEnd w:id="6"/>
      <w:bookmarkEnd w:id="9"/>
    </w:p>
    <w:p>
      <w:pPr>
        <w:spacing w:line="360" w:lineRule="auto"/>
        <w:ind w:firstLine="420" w:firstLineChars="200"/>
        <w:rPr>
          <w:rFonts w:ascii="宋体" w:hAnsi="宋体" w:cs="Arial"/>
          <w:szCs w:val="21"/>
        </w:rPr>
      </w:pPr>
      <w:r>
        <w:rPr>
          <w:rFonts w:hint="eastAsia" w:ascii="宋体" w:hAnsi="宋体" w:cs="Arial"/>
          <w:szCs w:val="21"/>
        </w:rPr>
        <w:t>（一）基金管理人</w:t>
      </w:r>
    </w:p>
    <w:p>
      <w:pPr>
        <w:spacing w:line="360" w:lineRule="auto"/>
        <w:ind w:firstLine="420" w:firstLineChars="200"/>
        <w:rPr>
          <w:rFonts w:ascii="宋体" w:hAnsi="宋体" w:cs="Arial"/>
          <w:szCs w:val="21"/>
        </w:rPr>
      </w:pPr>
      <w:r>
        <w:rPr>
          <w:rFonts w:hint="eastAsia" w:ascii="宋体" w:hAnsi="宋体" w:cs="Arial"/>
          <w:szCs w:val="21"/>
        </w:rPr>
        <w:t>名称：博时基金管理有限公司</w:t>
      </w:r>
    </w:p>
    <w:p>
      <w:pPr>
        <w:spacing w:line="360" w:lineRule="auto"/>
        <w:ind w:firstLine="420" w:firstLineChars="200"/>
        <w:rPr>
          <w:rFonts w:ascii="宋体" w:hAnsi="宋体" w:cs="Arial"/>
          <w:szCs w:val="21"/>
        </w:rPr>
      </w:pPr>
      <w:r>
        <w:rPr>
          <w:rFonts w:hint="eastAsia" w:ascii="宋体" w:hAnsi="宋体" w:cs="Arial"/>
          <w:szCs w:val="21"/>
        </w:rPr>
        <w:t>注册地址：深圳市福田区莲花街道福新社区益田路5999号基金大厦21层</w:t>
      </w:r>
    </w:p>
    <w:p>
      <w:pPr>
        <w:spacing w:line="360" w:lineRule="auto"/>
        <w:ind w:firstLine="420" w:firstLineChars="200"/>
        <w:rPr>
          <w:rFonts w:ascii="宋体" w:hAnsi="宋体" w:cs="Arial"/>
          <w:szCs w:val="21"/>
        </w:rPr>
      </w:pPr>
      <w:r>
        <w:rPr>
          <w:rFonts w:hint="eastAsia" w:ascii="宋体" w:hAnsi="宋体" w:cs="Arial"/>
          <w:szCs w:val="21"/>
        </w:rPr>
        <w:t>办公地址：广东省深圳市福田区益田路5999号基金大厦21层</w:t>
      </w:r>
    </w:p>
    <w:p>
      <w:pPr>
        <w:spacing w:line="360" w:lineRule="auto"/>
        <w:ind w:firstLine="420" w:firstLineChars="200"/>
        <w:rPr>
          <w:rFonts w:ascii="宋体" w:hAnsi="宋体" w:cs="Arial"/>
          <w:szCs w:val="21"/>
        </w:rPr>
      </w:pPr>
      <w:r>
        <w:rPr>
          <w:rFonts w:hint="eastAsia" w:ascii="宋体" w:hAnsi="宋体" w:cs="Arial"/>
          <w:szCs w:val="21"/>
        </w:rPr>
        <w:t>邮政编码：518046</w:t>
      </w:r>
    </w:p>
    <w:p>
      <w:pPr>
        <w:spacing w:line="360" w:lineRule="auto"/>
        <w:ind w:firstLine="420" w:firstLineChars="200"/>
        <w:rPr>
          <w:rFonts w:ascii="宋体" w:hAnsi="宋体" w:cs="Arial"/>
          <w:szCs w:val="21"/>
        </w:rPr>
      </w:pPr>
      <w:r>
        <w:rPr>
          <w:rFonts w:hint="eastAsia" w:ascii="宋体" w:hAnsi="宋体" w:cs="Arial"/>
          <w:szCs w:val="21"/>
        </w:rPr>
        <w:t>法定代表人：江向阳</w:t>
      </w:r>
    </w:p>
    <w:p>
      <w:pPr>
        <w:spacing w:line="360" w:lineRule="auto"/>
        <w:ind w:firstLine="420" w:firstLineChars="200"/>
        <w:rPr>
          <w:rFonts w:ascii="宋体" w:hAnsi="宋体" w:cs="Arial"/>
          <w:szCs w:val="21"/>
        </w:rPr>
      </w:pPr>
      <w:r>
        <w:rPr>
          <w:rFonts w:hint="eastAsia" w:ascii="宋体" w:hAnsi="宋体" w:cs="Arial"/>
          <w:szCs w:val="21"/>
        </w:rPr>
        <w:t>成立日期：1998年7月13日</w:t>
      </w:r>
    </w:p>
    <w:p>
      <w:pPr>
        <w:spacing w:line="360" w:lineRule="auto"/>
        <w:ind w:firstLine="420" w:firstLineChars="200"/>
        <w:rPr>
          <w:rFonts w:ascii="宋体" w:hAnsi="宋体" w:cs="Arial"/>
          <w:szCs w:val="21"/>
        </w:rPr>
      </w:pPr>
      <w:r>
        <w:rPr>
          <w:rFonts w:hint="eastAsia" w:ascii="宋体" w:hAnsi="宋体" w:cs="Arial"/>
          <w:szCs w:val="21"/>
        </w:rPr>
        <w:t>批准设立机关及批准设立文号：中国证监会证监基字【1998】26号</w:t>
      </w:r>
    </w:p>
    <w:p>
      <w:pPr>
        <w:spacing w:line="360" w:lineRule="auto"/>
        <w:ind w:firstLine="420" w:firstLineChars="200"/>
        <w:rPr>
          <w:rFonts w:ascii="宋体" w:hAnsi="宋体" w:cs="Arial"/>
          <w:szCs w:val="21"/>
        </w:rPr>
      </w:pPr>
      <w:r>
        <w:rPr>
          <w:rFonts w:hint="eastAsia" w:ascii="宋体" w:hAnsi="宋体" w:cs="Arial"/>
          <w:szCs w:val="21"/>
        </w:rPr>
        <w:t>组织形式：有限责任公司</w:t>
      </w:r>
    </w:p>
    <w:p>
      <w:pPr>
        <w:spacing w:line="360" w:lineRule="auto"/>
        <w:ind w:firstLine="420" w:firstLineChars="200"/>
        <w:rPr>
          <w:rFonts w:ascii="宋体" w:hAnsi="宋体" w:cs="Arial"/>
          <w:szCs w:val="21"/>
        </w:rPr>
      </w:pPr>
      <w:r>
        <w:rPr>
          <w:rFonts w:hint="eastAsia" w:ascii="宋体" w:hAnsi="宋体" w:cs="Arial"/>
          <w:szCs w:val="21"/>
        </w:rPr>
        <w:t>注册资本：2.5亿元人民币</w:t>
      </w:r>
    </w:p>
    <w:p>
      <w:pPr>
        <w:spacing w:line="360" w:lineRule="auto"/>
        <w:ind w:firstLine="420" w:firstLineChars="200"/>
        <w:rPr>
          <w:rFonts w:ascii="宋体" w:hAnsi="宋体" w:cs="Arial"/>
          <w:szCs w:val="21"/>
        </w:rPr>
      </w:pPr>
      <w:r>
        <w:rPr>
          <w:rFonts w:hint="eastAsia" w:ascii="宋体" w:hAnsi="宋体" w:cs="Arial"/>
          <w:szCs w:val="21"/>
        </w:rPr>
        <w:t>存续期间：持续经营</w:t>
      </w:r>
    </w:p>
    <w:p>
      <w:pPr>
        <w:spacing w:line="360" w:lineRule="auto"/>
        <w:ind w:firstLine="420" w:firstLineChars="200"/>
        <w:rPr>
          <w:rFonts w:ascii="宋体" w:hAnsi="宋体" w:cs="Arial"/>
          <w:szCs w:val="21"/>
        </w:rPr>
      </w:pPr>
      <w:r>
        <w:rPr>
          <w:rFonts w:hint="eastAsia" w:ascii="宋体" w:hAnsi="宋体" w:cs="Arial"/>
          <w:szCs w:val="21"/>
        </w:rPr>
        <w:t>经营范围：基金募集；基金销售；资产管理以及中国证监会许可的其它业务</w:t>
      </w:r>
    </w:p>
    <w:p>
      <w:pPr>
        <w:spacing w:line="360" w:lineRule="auto"/>
        <w:ind w:firstLine="420" w:firstLineChars="200"/>
        <w:rPr>
          <w:rFonts w:ascii="宋体" w:hAnsi="宋体" w:cs="Arial"/>
          <w:szCs w:val="21"/>
        </w:rPr>
      </w:pPr>
      <w:r>
        <w:rPr>
          <w:rFonts w:hint="eastAsia" w:ascii="宋体" w:hAnsi="宋体" w:cs="Arial"/>
          <w:szCs w:val="21"/>
        </w:rPr>
        <w:t>（二）基金托管人</w:t>
      </w:r>
    </w:p>
    <w:p>
      <w:pPr>
        <w:spacing w:line="360" w:lineRule="auto"/>
        <w:ind w:firstLine="420" w:firstLineChars="200"/>
        <w:rPr>
          <w:rFonts w:ascii="宋体" w:hAnsi="宋体" w:cs="Arial"/>
          <w:szCs w:val="21"/>
        </w:rPr>
      </w:pPr>
      <w:r>
        <w:rPr>
          <w:rFonts w:hint="eastAsia" w:ascii="宋体" w:hAnsi="宋体" w:cs="Arial"/>
          <w:szCs w:val="21"/>
        </w:rPr>
        <w:t>名称：中国建设银行股份有限公司</w:t>
      </w:r>
    </w:p>
    <w:p>
      <w:pPr>
        <w:spacing w:line="360" w:lineRule="auto"/>
        <w:ind w:firstLine="420" w:firstLineChars="200"/>
        <w:rPr>
          <w:rFonts w:ascii="宋体" w:hAnsi="宋体" w:cs="Arial"/>
          <w:szCs w:val="21"/>
        </w:rPr>
      </w:pPr>
      <w:r>
        <w:rPr>
          <w:rFonts w:hint="eastAsia" w:ascii="宋体" w:hAnsi="宋体" w:cs="Arial"/>
          <w:szCs w:val="21"/>
        </w:rPr>
        <w:t>住所：北京市西城区金融大街25号</w:t>
      </w:r>
    </w:p>
    <w:p>
      <w:pPr>
        <w:spacing w:line="360" w:lineRule="auto"/>
        <w:ind w:firstLine="420" w:firstLineChars="200"/>
        <w:rPr>
          <w:rFonts w:ascii="宋体" w:hAnsi="宋体" w:cs="Arial"/>
          <w:szCs w:val="21"/>
        </w:rPr>
      </w:pPr>
      <w:r>
        <w:rPr>
          <w:rFonts w:hint="eastAsia" w:ascii="宋体" w:hAnsi="宋体" w:cs="Arial"/>
          <w:szCs w:val="21"/>
        </w:rPr>
        <w:t>办公地址：北京市西城区闹市口大街1号院1号楼</w:t>
      </w:r>
    </w:p>
    <w:p>
      <w:pPr>
        <w:spacing w:line="360" w:lineRule="auto"/>
        <w:ind w:firstLine="420" w:firstLineChars="200"/>
        <w:rPr>
          <w:rFonts w:ascii="宋体" w:hAnsi="宋体" w:cs="Arial"/>
          <w:szCs w:val="21"/>
        </w:rPr>
      </w:pPr>
      <w:r>
        <w:rPr>
          <w:rFonts w:hint="eastAsia" w:ascii="宋体" w:hAnsi="宋体" w:cs="Arial"/>
          <w:szCs w:val="21"/>
        </w:rPr>
        <w:t>邮政编码：100033</w:t>
      </w:r>
    </w:p>
    <w:p>
      <w:pPr>
        <w:spacing w:line="360" w:lineRule="auto"/>
        <w:ind w:firstLine="420" w:firstLineChars="200"/>
        <w:rPr>
          <w:rFonts w:hint="eastAsia" w:ascii="宋体" w:hAnsi="宋体" w:eastAsia="宋体" w:cs="Arial"/>
          <w:szCs w:val="21"/>
          <w:lang w:eastAsia="zh-CN"/>
        </w:rPr>
      </w:pPr>
      <w:r>
        <w:rPr>
          <w:rFonts w:hint="eastAsia" w:ascii="宋体" w:hAnsi="宋体" w:cs="Arial"/>
          <w:szCs w:val="21"/>
        </w:rPr>
        <w:t>法定代表人：</w:t>
      </w:r>
      <w:r>
        <w:rPr>
          <w:rFonts w:hint="eastAsia" w:ascii="宋体" w:hAnsi="宋体" w:cs="Arial"/>
          <w:szCs w:val="21"/>
          <w:lang w:eastAsia="zh-CN"/>
        </w:rPr>
        <w:t>张金良</w:t>
      </w:r>
    </w:p>
    <w:p>
      <w:pPr>
        <w:spacing w:line="360" w:lineRule="auto"/>
        <w:ind w:firstLine="420" w:firstLineChars="200"/>
        <w:rPr>
          <w:rFonts w:ascii="宋体" w:hAnsi="宋体" w:cs="Arial"/>
          <w:szCs w:val="21"/>
        </w:rPr>
      </w:pPr>
      <w:r>
        <w:rPr>
          <w:rFonts w:hint="eastAsia" w:ascii="宋体" w:hAnsi="宋体" w:cs="Arial"/>
          <w:szCs w:val="21"/>
        </w:rPr>
        <w:t>成立日期：2004年09月17日</w:t>
      </w:r>
    </w:p>
    <w:p>
      <w:pPr>
        <w:spacing w:line="360" w:lineRule="auto"/>
        <w:ind w:firstLine="420" w:firstLineChars="200"/>
        <w:rPr>
          <w:rFonts w:ascii="宋体" w:hAnsi="宋体" w:cs="Arial"/>
          <w:szCs w:val="21"/>
        </w:rPr>
      </w:pPr>
      <w:r>
        <w:rPr>
          <w:rFonts w:hint="eastAsia" w:ascii="宋体" w:hAnsi="宋体" w:cs="Arial"/>
          <w:szCs w:val="21"/>
        </w:rPr>
        <w:t>基金托管业务批准文号：中国证监会证监基字[1998]12号</w:t>
      </w:r>
    </w:p>
    <w:p>
      <w:pPr>
        <w:spacing w:line="360" w:lineRule="auto"/>
        <w:ind w:firstLine="420" w:firstLineChars="200"/>
        <w:rPr>
          <w:rFonts w:ascii="宋体" w:hAnsi="宋体" w:cs="Arial"/>
          <w:szCs w:val="21"/>
        </w:rPr>
      </w:pPr>
      <w:r>
        <w:rPr>
          <w:rFonts w:hint="eastAsia" w:ascii="宋体" w:hAnsi="宋体" w:cs="Arial"/>
          <w:szCs w:val="21"/>
        </w:rPr>
        <w:t>组织形式：股份有限公司</w:t>
      </w:r>
    </w:p>
    <w:p>
      <w:pPr>
        <w:spacing w:line="360" w:lineRule="auto"/>
        <w:ind w:firstLine="420" w:firstLineChars="200"/>
        <w:rPr>
          <w:rFonts w:ascii="宋体" w:hAnsi="宋体" w:cs="Arial"/>
          <w:szCs w:val="21"/>
        </w:rPr>
      </w:pPr>
      <w:r>
        <w:rPr>
          <w:rFonts w:hint="eastAsia" w:ascii="宋体" w:hAnsi="宋体" w:cs="Arial"/>
          <w:szCs w:val="21"/>
        </w:rPr>
        <w:t>注册资本：贰仟伍佰亿壹仟零玖拾柒万柒仟肆佰捌拾陆元整</w:t>
      </w:r>
    </w:p>
    <w:p>
      <w:pPr>
        <w:spacing w:line="360" w:lineRule="auto"/>
        <w:ind w:firstLine="420" w:firstLineChars="200"/>
        <w:rPr>
          <w:rFonts w:ascii="宋体" w:hAnsi="宋体" w:cs="Arial"/>
          <w:szCs w:val="21"/>
        </w:rPr>
      </w:pPr>
      <w:r>
        <w:rPr>
          <w:rFonts w:hint="eastAsia" w:ascii="宋体" w:hAnsi="宋体" w:cs="Arial"/>
          <w:szCs w:val="21"/>
        </w:rPr>
        <w:t>存续期间：持续经营</w:t>
      </w:r>
    </w:p>
    <w:p>
      <w:pPr>
        <w:spacing w:line="360" w:lineRule="auto"/>
        <w:ind w:firstLine="420" w:firstLineChars="200"/>
        <w:rPr>
          <w:rFonts w:ascii="宋体" w:hAnsi="宋体"/>
          <w:szCs w:val="21"/>
        </w:rPr>
      </w:pPr>
      <w:r>
        <w:rPr>
          <w:rFonts w:hint="eastAsia" w:ascii="宋体" w:hAnsi="宋体" w:cs="Arial"/>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bookmarkEnd w:id="7"/>
    <w:p>
      <w:pPr>
        <w:spacing w:line="360" w:lineRule="auto"/>
        <w:ind w:firstLine="420" w:firstLineChars="200"/>
        <w:rPr>
          <w:rFonts w:ascii="宋体" w:hAnsi="宋体"/>
        </w:rPr>
        <w:sectPr>
          <w:footerReference r:id="rId7" w:type="default"/>
          <w:pgSz w:w="11906" w:h="16838"/>
          <w:pgMar w:top="1418" w:right="1701" w:bottom="1418" w:left="1701" w:header="851" w:footer="992" w:gutter="0"/>
          <w:pgNumType w:fmt="decimal" w:start="1"/>
          <w:cols w:space="425" w:num="1"/>
          <w:docGrid w:type="lines" w:linePitch="312" w:charSpace="0"/>
        </w:sectPr>
      </w:pPr>
    </w:p>
    <w:p>
      <w:pPr>
        <w:pStyle w:val="4"/>
        <w:spacing w:before="312" w:beforeLines="100" w:after="156" w:afterLines="50" w:line="360" w:lineRule="auto"/>
        <w:jc w:val="center"/>
        <w:rPr>
          <w:rFonts w:ascii="宋体" w:hAnsi="宋体" w:eastAsia="宋体"/>
          <w:sz w:val="21"/>
          <w:szCs w:val="21"/>
        </w:rPr>
      </w:pPr>
      <w:bookmarkStart w:id="10" w:name="_Toc348082030"/>
      <w:bookmarkStart w:id="11" w:name="CLAUSE_96353f21d6d142aa955247e26ef492df"/>
      <w:r>
        <w:t xml:space="preserve"> </w:t>
      </w:r>
      <w:bookmarkStart w:id="12" w:name="CTS_96353f21d6d142aa955247e26ef492df"/>
      <w:bookmarkEnd w:id="12"/>
      <w:bookmarkStart w:id="13" w:name="_Toc14662"/>
      <w:r>
        <w:rPr>
          <w:rFonts w:hint="eastAsia" w:ascii="宋体" w:hAnsi="宋体" w:eastAsia="宋体"/>
          <w:sz w:val="21"/>
          <w:szCs w:val="21"/>
        </w:rPr>
        <w:t>二、基金托管协议的依据、目的和原则</w:t>
      </w:r>
      <w:bookmarkEnd w:id="10"/>
      <w:bookmarkEnd w:id="13"/>
    </w:p>
    <w:p>
      <w:pPr>
        <w:spacing w:line="360" w:lineRule="auto"/>
        <w:rPr>
          <w:rFonts w:ascii="宋体" w:hAnsi="宋体" w:cs="Arial"/>
          <w:szCs w:val="21"/>
        </w:rPr>
      </w:pPr>
      <w:r>
        <w:rPr>
          <w:rFonts w:hint="eastAsia" w:ascii="宋体" w:hAnsi="宋体" w:cs="Arial"/>
          <w:szCs w:val="21"/>
        </w:rPr>
        <w:t>（一）订立托管协议的依据</w:t>
      </w:r>
    </w:p>
    <w:p>
      <w:pPr>
        <w:spacing w:line="360" w:lineRule="auto"/>
        <w:rPr>
          <w:rFonts w:ascii="宋体" w:hAnsi="宋体" w:cs="Arial"/>
          <w:szCs w:val="21"/>
        </w:rPr>
      </w:pPr>
      <w:r>
        <w:rPr>
          <w:rFonts w:hint="eastAsia" w:ascii="宋体" w:hAnsi="宋体" w:cs="Arial"/>
          <w:szCs w:val="21"/>
        </w:rPr>
        <w:t>本协议依据《中华人民共和国证券投资基金法》(以下简称“《基金法》”)等有关法律法规、《基金合同》及其他有关规定制订。</w:t>
      </w:r>
    </w:p>
    <w:p>
      <w:pPr>
        <w:spacing w:line="360" w:lineRule="auto"/>
        <w:rPr>
          <w:rFonts w:ascii="宋体" w:hAnsi="宋体" w:cs="Arial"/>
          <w:szCs w:val="21"/>
        </w:rPr>
      </w:pPr>
      <w:r>
        <w:rPr>
          <w:rFonts w:hint="eastAsia" w:ascii="宋体" w:hAnsi="宋体" w:cs="Arial"/>
          <w:szCs w:val="21"/>
        </w:rPr>
        <w:t>（二）订立托管协议的目的</w:t>
      </w:r>
    </w:p>
    <w:p>
      <w:pPr>
        <w:spacing w:line="360" w:lineRule="auto"/>
        <w:rPr>
          <w:rFonts w:ascii="宋体" w:hAnsi="宋体" w:cs="Arial"/>
          <w:szCs w:val="21"/>
        </w:rPr>
      </w:pPr>
      <w:r>
        <w:rPr>
          <w:rFonts w:hint="eastAsia" w:ascii="宋体" w:hAnsi="宋体" w:cs="Arial"/>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pPr>
        <w:spacing w:line="360" w:lineRule="auto"/>
        <w:rPr>
          <w:rFonts w:ascii="宋体" w:hAnsi="宋体" w:cs="Arial"/>
          <w:szCs w:val="21"/>
        </w:rPr>
      </w:pPr>
      <w:r>
        <w:rPr>
          <w:rFonts w:hint="eastAsia" w:ascii="宋体" w:hAnsi="宋体" w:cs="Arial"/>
          <w:szCs w:val="21"/>
        </w:rPr>
        <w:t>（三）订立托管协议的原则</w:t>
      </w:r>
    </w:p>
    <w:p>
      <w:pPr>
        <w:spacing w:line="360" w:lineRule="auto"/>
        <w:rPr>
          <w:rFonts w:ascii="宋体" w:hAnsi="宋体"/>
          <w:szCs w:val="21"/>
        </w:rPr>
      </w:pPr>
      <w:r>
        <w:rPr>
          <w:rFonts w:hint="eastAsia" w:ascii="宋体" w:hAnsi="宋体" w:cs="Arial"/>
          <w:szCs w:val="21"/>
        </w:rPr>
        <w:t>基金管理人和基金托管人本着平等自愿、诚实信用、充分保护基金份额持有人合法权益的原则，经协商一致，签订本协议。</w:t>
      </w:r>
    </w:p>
    <w:bookmarkEnd w:id="11"/>
    <w:p>
      <w:pPr>
        <w:spacing w:line="360" w:lineRule="auto"/>
        <w:ind w:firstLine="420" w:firstLineChars="200"/>
        <w:rPr>
          <w:rFonts w:ascii="宋体" w:hAnsi="宋体"/>
        </w:rPr>
        <w:sectPr>
          <w:footerReference r:id="rId8" w:type="default"/>
          <w:pgSz w:w="11906" w:h="16838"/>
          <w:pgMar w:top="1418" w:right="1701" w:bottom="1418" w:left="1701" w:header="851" w:footer="992" w:gutter="0"/>
          <w:pgNumType w:fmt="decimal"/>
          <w:cols w:space="425" w:num="1"/>
          <w:docGrid w:type="lines" w:linePitch="312" w:charSpace="0"/>
        </w:sectPr>
      </w:pPr>
    </w:p>
    <w:p>
      <w:pPr>
        <w:pStyle w:val="4"/>
        <w:spacing w:before="312" w:beforeLines="100" w:after="156" w:afterLines="50" w:line="360" w:lineRule="auto"/>
        <w:jc w:val="center"/>
        <w:rPr>
          <w:rFonts w:ascii="宋体" w:hAnsi="宋体" w:eastAsia="宋体"/>
          <w:sz w:val="21"/>
          <w:szCs w:val="21"/>
        </w:rPr>
      </w:pPr>
      <w:bookmarkStart w:id="14" w:name="_Toc348082031"/>
      <w:bookmarkStart w:id="15" w:name="CLAUSE_a003d4e3029648d19d20714c26ca213e"/>
      <w:r>
        <w:t xml:space="preserve"> </w:t>
      </w:r>
      <w:bookmarkStart w:id="16" w:name="CTS_a003d4e3029648d19d20714c26ca213e"/>
      <w:bookmarkEnd w:id="16"/>
      <w:bookmarkStart w:id="17" w:name="_Toc20349"/>
      <w:r>
        <w:rPr>
          <w:rFonts w:hint="eastAsia" w:ascii="宋体" w:hAnsi="宋体" w:eastAsia="宋体"/>
          <w:sz w:val="21"/>
          <w:szCs w:val="21"/>
        </w:rPr>
        <w:t>三、基金托管人对基金管理人的业务监督和核查</w:t>
      </w:r>
      <w:bookmarkEnd w:id="14"/>
      <w:bookmarkEnd w:id="17"/>
    </w:p>
    <w:p>
      <w:pPr>
        <w:spacing w:line="360" w:lineRule="auto"/>
        <w:ind w:firstLine="420" w:firstLineChars="200"/>
        <w:rPr>
          <w:rFonts w:ascii="宋体" w:hAnsi="宋体" w:cs="Arial"/>
          <w:szCs w:val="21"/>
        </w:rPr>
      </w:pPr>
      <w:r>
        <w:rPr>
          <w:rFonts w:hint="eastAsia" w:ascii="宋体" w:hAnsi="宋体" w:cs="Arial"/>
          <w:szCs w:val="21"/>
        </w:rPr>
        <w:t>（一）基金托管人根据有关法律法规的规定及《基金合同》的约定，对基金投资范围、投资对象进行监督。《基金合同》明确约定基金投资风格或证券选择标准的，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pPr>
        <w:spacing w:line="360" w:lineRule="auto"/>
        <w:ind w:firstLine="420" w:firstLineChars="200"/>
        <w:rPr>
          <w:rFonts w:ascii="宋体" w:hAnsi="宋体" w:cs="Arial"/>
          <w:szCs w:val="21"/>
        </w:rPr>
      </w:pPr>
      <w:r>
        <w:rPr>
          <w:rFonts w:hint="eastAsia" w:ascii="宋体" w:hAnsi="宋体" w:cs="Arial"/>
          <w:szCs w:val="21"/>
        </w:rPr>
        <w:t>本基金主要投资于目标ETF、标的指数即中证国新央企现代能源指数成份股和备选成份股票（含存托凭证）。为更好地实现基金的投资目标，本基金可能会少量投资于依法发行上市的非成份股（包括创业板及其他经中国证监会核准或注册上市的股票、存托凭证）、债券（包括国债、金融债、企业债、公司债、地方政府债、政府支持机构债券、政府支持债券、可转换债券（含分离交易可转债的纯债部分）、可交换债、央行票据、中期票据、短期融资券、超短期融资券等）、资产支持证券、债券回购、银行存款、同业存单、货币市场工具、国债期货、股指期货、股票期权及法律法规或中国证监会允许基金投资的其他金融工具（但须符合中国证监会相关规定）。</w:t>
      </w:r>
    </w:p>
    <w:p>
      <w:pPr>
        <w:spacing w:line="360" w:lineRule="auto"/>
        <w:ind w:firstLine="420" w:firstLineChars="200"/>
        <w:rPr>
          <w:rFonts w:ascii="宋体" w:hAnsi="宋体" w:cs="Arial"/>
          <w:szCs w:val="21"/>
        </w:rPr>
      </w:pPr>
      <w:r>
        <w:rPr>
          <w:rFonts w:hint="eastAsia" w:ascii="宋体" w:hAnsi="宋体" w:cs="Arial"/>
          <w:szCs w:val="21"/>
        </w:rPr>
        <w:t>本基金可根据法律法规的规定参与融资及转融通证券出借业务。</w:t>
      </w:r>
    </w:p>
    <w:p>
      <w:pPr>
        <w:spacing w:line="360" w:lineRule="auto"/>
        <w:ind w:firstLine="420" w:firstLineChars="200"/>
        <w:rPr>
          <w:rFonts w:ascii="宋体" w:hAnsi="宋体" w:cs="Arial"/>
          <w:szCs w:val="21"/>
        </w:rPr>
      </w:pPr>
      <w:r>
        <w:rPr>
          <w:rFonts w:hint="eastAsia" w:ascii="宋体" w:hAnsi="宋体" w:cs="Arial"/>
          <w:szCs w:val="21"/>
        </w:rPr>
        <w:t>如法律法规或监管机构以后允许基金投资其他品种，基金管理人在履行适当程序后，可以将其纳入投资范围。</w:t>
      </w:r>
    </w:p>
    <w:p>
      <w:pPr>
        <w:spacing w:line="360" w:lineRule="auto"/>
        <w:ind w:firstLine="420" w:firstLineChars="200"/>
        <w:rPr>
          <w:rFonts w:ascii="宋体" w:hAnsi="宋体" w:cs="Arial"/>
          <w:szCs w:val="21"/>
        </w:rPr>
      </w:pPr>
      <w:r>
        <w:rPr>
          <w:rFonts w:hint="eastAsia" w:ascii="宋体" w:hAnsi="宋体" w:cs="Arial"/>
          <w:szCs w:val="21"/>
        </w:rPr>
        <w:t>本基金投资于目标ETF的资产比例不低于基金资产净值的90%，且不低于非现金基金资产的80%；国债期货、股指期货、股票期权及其他金融工具的投资比例依照法律法规或监管机构的规定执行。每个交易日日终在扣除国债期货、股指期货和股票期权合约需缴纳的交易保证金后，对现金或者到期日在一年以内的政府债券的投资比例不低于基金资产净值的5%，其中，现金不包括结算备付金、存出保证金、应收申购款等。</w:t>
      </w:r>
    </w:p>
    <w:p>
      <w:pPr>
        <w:spacing w:line="360" w:lineRule="auto"/>
        <w:ind w:firstLine="420" w:firstLineChars="200"/>
        <w:rPr>
          <w:rFonts w:ascii="宋体" w:hAnsi="宋体" w:cs="Arial"/>
          <w:szCs w:val="21"/>
        </w:rPr>
      </w:pPr>
      <w:r>
        <w:rPr>
          <w:rFonts w:hint="eastAsia" w:ascii="宋体" w:hAnsi="宋体" w:cs="Arial"/>
          <w:szCs w:val="21"/>
        </w:rPr>
        <w:t>若法律法规的相关规定发生变更或监管机构允许，本基金管理人在履行适当程序后，可对上述资产配置比例进行调整。</w:t>
      </w:r>
    </w:p>
    <w:p>
      <w:pPr>
        <w:spacing w:line="360" w:lineRule="auto"/>
        <w:ind w:firstLine="420" w:firstLineChars="200"/>
        <w:rPr>
          <w:rFonts w:ascii="宋体" w:hAnsi="宋体" w:cs="Arial"/>
          <w:szCs w:val="21"/>
        </w:rPr>
      </w:pPr>
      <w:r>
        <w:rPr>
          <w:rFonts w:hint="eastAsia" w:ascii="宋体" w:hAnsi="宋体" w:cs="Arial"/>
          <w:szCs w:val="21"/>
        </w:rPr>
        <w:t>（二）基金托管人根据有关法律法规的规定及《基金合同》的约定，对基金投资、融资比例进行监督。基金托管人按下述比例和调整期限进行监督：</w:t>
      </w:r>
    </w:p>
    <w:p>
      <w:pPr>
        <w:spacing w:line="360" w:lineRule="auto"/>
        <w:ind w:firstLine="420" w:firstLineChars="200"/>
        <w:rPr>
          <w:rFonts w:ascii="宋体" w:hAnsi="宋体" w:cs="Arial"/>
          <w:szCs w:val="21"/>
        </w:rPr>
      </w:pPr>
      <w:r>
        <w:rPr>
          <w:rFonts w:hint="eastAsia" w:ascii="宋体" w:hAnsi="宋体" w:cs="Arial"/>
          <w:szCs w:val="21"/>
        </w:rPr>
        <w:t>基金投资组合比例限制：</w:t>
      </w:r>
    </w:p>
    <w:p>
      <w:pPr>
        <w:spacing w:line="360" w:lineRule="auto"/>
        <w:ind w:firstLine="420" w:firstLineChars="200"/>
        <w:rPr>
          <w:rFonts w:ascii="宋体" w:hAnsi="宋体" w:cs="Arial"/>
          <w:szCs w:val="21"/>
        </w:rPr>
      </w:pPr>
      <w:r>
        <w:rPr>
          <w:rFonts w:hint="eastAsia" w:ascii="宋体" w:hAnsi="宋体" w:cs="Arial"/>
          <w:szCs w:val="21"/>
        </w:rPr>
        <w:t>（1）本基金投资于目标ETF的资产比例不低于基金资产净值的90%，且不低于非现金基金资产的80%；</w:t>
      </w:r>
    </w:p>
    <w:p>
      <w:pPr>
        <w:spacing w:line="360" w:lineRule="auto"/>
        <w:ind w:firstLine="420" w:firstLineChars="200"/>
        <w:rPr>
          <w:rFonts w:ascii="宋体" w:hAnsi="宋体" w:cs="Arial"/>
          <w:szCs w:val="21"/>
        </w:rPr>
      </w:pPr>
      <w:r>
        <w:rPr>
          <w:rFonts w:hint="eastAsia" w:ascii="宋体" w:hAnsi="宋体" w:cs="Arial"/>
          <w:szCs w:val="21"/>
        </w:rPr>
        <w:t>（2）每个交易日日终在扣除国债期货、股指期货和股票期权合约需缴纳的交易保证金后，本基金持有的现金或者到期日在一年以内的政府债券的比例不低于基金资产净值的5%，其中现金不包括结算备付金、存出保证金、应收申购款等；</w:t>
      </w:r>
    </w:p>
    <w:p>
      <w:pPr>
        <w:spacing w:line="360" w:lineRule="auto"/>
        <w:ind w:firstLine="420" w:firstLineChars="200"/>
        <w:rPr>
          <w:rFonts w:ascii="宋体" w:hAnsi="宋体" w:cs="Arial"/>
          <w:szCs w:val="21"/>
        </w:rPr>
      </w:pPr>
      <w:r>
        <w:rPr>
          <w:rFonts w:hint="eastAsia" w:ascii="宋体" w:hAnsi="宋体" w:cs="Arial"/>
          <w:szCs w:val="21"/>
        </w:rPr>
        <w:t>（3）本基金投资于同一原始权益人的各类资产支持证券的比例，不得超过基金资产净值的10％；</w:t>
      </w:r>
    </w:p>
    <w:p>
      <w:pPr>
        <w:spacing w:line="360" w:lineRule="auto"/>
        <w:ind w:firstLine="420" w:firstLineChars="200"/>
        <w:rPr>
          <w:rFonts w:ascii="宋体" w:hAnsi="宋体" w:cs="Arial"/>
          <w:szCs w:val="21"/>
        </w:rPr>
      </w:pPr>
      <w:r>
        <w:rPr>
          <w:rFonts w:hint="eastAsia" w:ascii="宋体" w:hAnsi="宋体" w:cs="Arial"/>
          <w:szCs w:val="21"/>
        </w:rPr>
        <w:t>（4）本基金持有的全部资产支持证券，其市值不得超过基金资产净值的20％；</w:t>
      </w:r>
    </w:p>
    <w:p>
      <w:pPr>
        <w:spacing w:line="360" w:lineRule="auto"/>
        <w:ind w:firstLine="420" w:firstLineChars="200"/>
        <w:rPr>
          <w:rFonts w:ascii="宋体" w:hAnsi="宋体" w:cs="Arial"/>
          <w:szCs w:val="21"/>
        </w:rPr>
      </w:pPr>
      <w:r>
        <w:rPr>
          <w:rFonts w:hint="eastAsia" w:ascii="宋体" w:hAnsi="宋体" w:cs="Arial"/>
          <w:szCs w:val="21"/>
        </w:rPr>
        <w:t>（5）本基金持有的同一(指同一信用级别)资产支持证券的比例，不得超过该资产支持证券规模的10％；</w:t>
      </w:r>
    </w:p>
    <w:p>
      <w:pPr>
        <w:spacing w:line="360" w:lineRule="auto"/>
        <w:ind w:firstLine="420" w:firstLineChars="200"/>
        <w:rPr>
          <w:rFonts w:ascii="宋体" w:hAnsi="宋体" w:cs="Arial"/>
          <w:szCs w:val="21"/>
        </w:rPr>
      </w:pPr>
      <w:r>
        <w:rPr>
          <w:rFonts w:hint="eastAsia" w:ascii="宋体" w:hAnsi="宋体" w:cs="Arial"/>
          <w:szCs w:val="21"/>
        </w:rPr>
        <w:t>（6）本基金管理人管理且由本基金托管人托管的全部基金投资于同一原始权益人的各类资产支持证券，不得超过其各类资产支持证券合计规模的10％；</w:t>
      </w:r>
    </w:p>
    <w:p>
      <w:pPr>
        <w:spacing w:line="360" w:lineRule="auto"/>
        <w:ind w:firstLine="420" w:firstLineChars="200"/>
        <w:rPr>
          <w:rFonts w:ascii="宋体" w:hAnsi="宋体" w:cs="Arial"/>
          <w:szCs w:val="21"/>
        </w:rPr>
      </w:pPr>
      <w:r>
        <w:rPr>
          <w:rFonts w:hint="eastAsia" w:ascii="宋体" w:hAnsi="宋体" w:cs="Arial"/>
          <w:szCs w:val="21"/>
        </w:rPr>
        <w:t>（7）本基金应投资于信用级别评级为BBB以上(含BBB)的资产支持证券。基金持有资产支持证券期间，如果其信用等级下降、不再符合投资标准，应在评级报告发布之日起3个月内予以全部卖出；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20" w:firstLineChars="200"/>
        <w:rPr>
          <w:rFonts w:ascii="宋体" w:hAnsi="宋体" w:cs="Arial"/>
          <w:szCs w:val="21"/>
        </w:rPr>
      </w:pPr>
      <w:r>
        <w:rPr>
          <w:rFonts w:hint="eastAsia" w:ascii="宋体" w:hAnsi="宋体" w:cs="Arial"/>
          <w:szCs w:val="21"/>
        </w:rPr>
        <w:t>（8）基金财产参与股票发行申购，本基金所申报的金额不超过本基金的总资产，本基金所申报的股票数量不超过拟发行股票公司本次发行股票的总量；</w:t>
      </w:r>
    </w:p>
    <w:p>
      <w:pPr>
        <w:spacing w:line="360" w:lineRule="auto"/>
        <w:ind w:firstLine="420" w:firstLineChars="200"/>
        <w:rPr>
          <w:rFonts w:ascii="宋体" w:hAnsi="宋体" w:cs="Arial"/>
          <w:szCs w:val="21"/>
        </w:rPr>
      </w:pPr>
      <w:r>
        <w:rPr>
          <w:rFonts w:hint="eastAsia" w:ascii="宋体" w:hAnsi="宋体" w:cs="Arial"/>
          <w:szCs w:val="21"/>
        </w:rPr>
        <w:t>（9）本基金参与股指期货和国债期货交易的，应遵循下列限制：</w:t>
      </w:r>
    </w:p>
    <w:p>
      <w:pPr>
        <w:spacing w:line="360" w:lineRule="auto"/>
        <w:ind w:firstLine="420" w:firstLineChars="200"/>
        <w:rPr>
          <w:rFonts w:ascii="宋体" w:hAnsi="宋体" w:cs="Arial"/>
          <w:szCs w:val="21"/>
        </w:rPr>
      </w:pPr>
      <w:r>
        <w:rPr>
          <w:rFonts w:hint="eastAsia" w:ascii="宋体" w:hAnsi="宋体" w:cs="Arial"/>
          <w:szCs w:val="21"/>
        </w:rPr>
        <w:t>1）本基金在任何交易日日终，持有的买入股指期货合约价值，不得超过基金资产净值的10%；</w:t>
      </w:r>
    </w:p>
    <w:p>
      <w:pPr>
        <w:spacing w:line="360" w:lineRule="auto"/>
        <w:ind w:firstLine="420" w:firstLineChars="200"/>
        <w:rPr>
          <w:rFonts w:ascii="宋体" w:hAnsi="宋体" w:cs="Arial"/>
          <w:szCs w:val="21"/>
        </w:rPr>
      </w:pPr>
      <w:r>
        <w:rPr>
          <w:rFonts w:hint="eastAsia" w:ascii="宋体" w:hAnsi="宋体" w:cs="Arial"/>
          <w:szCs w:val="21"/>
        </w:rPr>
        <w:t>2）在任何交易日日终，本基金持有的买入股指期货、国债期货合约价值和有价证券市值之和，不得超过基金资产净值的100%；其中，有价证券指股票、债券（不含到期日在一年以内的政府债券）、资产支持证券、买入返售金融资产（不含质押式回购）等；</w:t>
      </w:r>
    </w:p>
    <w:p>
      <w:pPr>
        <w:spacing w:line="360" w:lineRule="auto"/>
        <w:ind w:firstLine="420" w:firstLineChars="200"/>
        <w:rPr>
          <w:rFonts w:ascii="宋体" w:hAnsi="宋体" w:cs="Arial"/>
          <w:szCs w:val="21"/>
        </w:rPr>
      </w:pPr>
      <w:r>
        <w:rPr>
          <w:rFonts w:hint="eastAsia" w:ascii="宋体" w:hAnsi="宋体" w:cs="Arial"/>
          <w:szCs w:val="21"/>
        </w:rPr>
        <w:t>3）本基金在任何交易日日终，持有的卖出股指期货合约价值不得超过基金持有的股票总市值的20%；</w:t>
      </w:r>
    </w:p>
    <w:p>
      <w:pPr>
        <w:spacing w:line="360" w:lineRule="auto"/>
        <w:ind w:firstLine="420" w:firstLineChars="200"/>
        <w:rPr>
          <w:rFonts w:ascii="宋体" w:hAnsi="宋体" w:cs="Arial"/>
          <w:szCs w:val="21"/>
        </w:rPr>
      </w:pPr>
      <w:r>
        <w:rPr>
          <w:rFonts w:hint="eastAsia" w:ascii="宋体" w:hAnsi="宋体" w:cs="Arial"/>
          <w:szCs w:val="21"/>
        </w:rPr>
        <w:t>4）本基金在任何交易日内交易（不包括平仓）的股指期货合约的成交金额不得超过上一交易日基金资产净值的20%；</w:t>
      </w:r>
    </w:p>
    <w:p>
      <w:pPr>
        <w:spacing w:line="360" w:lineRule="auto"/>
        <w:ind w:firstLine="420" w:firstLineChars="200"/>
        <w:rPr>
          <w:rFonts w:ascii="宋体" w:hAnsi="宋体" w:cs="Arial"/>
          <w:szCs w:val="21"/>
        </w:rPr>
      </w:pPr>
      <w:r>
        <w:rPr>
          <w:rFonts w:hint="eastAsia" w:ascii="宋体" w:hAnsi="宋体" w:cs="Arial"/>
          <w:szCs w:val="21"/>
        </w:rPr>
        <w:t>5）本基金在任何交易日日终，持有的买入国债期货合约价值，不得超过基金资产净值的15%；</w:t>
      </w:r>
    </w:p>
    <w:p>
      <w:pPr>
        <w:spacing w:line="360" w:lineRule="auto"/>
        <w:ind w:firstLine="420" w:firstLineChars="200"/>
        <w:rPr>
          <w:rFonts w:ascii="宋体" w:hAnsi="宋体" w:cs="Arial"/>
          <w:szCs w:val="21"/>
        </w:rPr>
      </w:pPr>
      <w:r>
        <w:rPr>
          <w:rFonts w:hint="eastAsia" w:ascii="宋体" w:hAnsi="宋体" w:cs="Arial"/>
          <w:szCs w:val="21"/>
        </w:rPr>
        <w:t>6）本基金在任何交易日日终，持有的卖出国债期货合约价值不得超过基金持有的债券总市值的30%；</w:t>
      </w:r>
    </w:p>
    <w:p>
      <w:pPr>
        <w:spacing w:line="360" w:lineRule="auto"/>
        <w:ind w:firstLine="420" w:firstLineChars="200"/>
      </w:pPr>
      <w:r>
        <w:rPr>
          <w:rFonts w:hint="eastAsia" w:ascii="宋体" w:hAnsi="宋体" w:cs="Arial"/>
          <w:szCs w:val="21"/>
        </w:rPr>
        <w:t>7）本基金在任何交易日内交易（不包括平仓）的国债期货合约的成交金额不得超过上一交易日基金资产净值的30%；</w:t>
      </w:r>
    </w:p>
    <w:p>
      <w:pPr>
        <w:spacing w:line="360" w:lineRule="auto"/>
        <w:ind w:firstLine="420" w:firstLineChars="200"/>
        <w:rPr>
          <w:rFonts w:ascii="宋体" w:hAnsi="宋体" w:cs="Arial"/>
          <w:szCs w:val="21"/>
        </w:rPr>
      </w:pPr>
      <w:r>
        <w:rPr>
          <w:rFonts w:hint="eastAsia" w:ascii="宋体" w:hAnsi="宋体" w:cs="Arial"/>
          <w:szCs w:val="21"/>
        </w:rPr>
        <w:t>（10）本基金参与股票期权交易的，需遵守下列规定：</w:t>
      </w:r>
    </w:p>
    <w:p>
      <w:pPr>
        <w:spacing w:line="360" w:lineRule="auto"/>
        <w:ind w:firstLine="420" w:firstLineChars="200"/>
        <w:rPr>
          <w:rFonts w:ascii="宋体" w:hAnsi="宋体" w:cs="Arial"/>
          <w:szCs w:val="21"/>
        </w:rPr>
      </w:pPr>
      <w:r>
        <w:rPr>
          <w:rFonts w:hint="eastAsia" w:ascii="宋体" w:hAnsi="宋体" w:cs="Arial"/>
          <w:szCs w:val="21"/>
        </w:rPr>
        <w:t>1）因未平仓的股票期权合约支付和收取的权利金总额不得超过基金资产净值的10%；</w:t>
      </w:r>
    </w:p>
    <w:p>
      <w:pPr>
        <w:spacing w:line="360" w:lineRule="auto"/>
        <w:ind w:firstLine="420" w:firstLineChars="200"/>
        <w:rPr>
          <w:rFonts w:ascii="宋体" w:hAnsi="宋体" w:cs="Arial"/>
          <w:szCs w:val="21"/>
        </w:rPr>
      </w:pPr>
      <w:r>
        <w:rPr>
          <w:rFonts w:ascii="宋体" w:hAnsi="宋体" w:cs="Arial"/>
          <w:szCs w:val="21"/>
        </w:rPr>
        <w:t>2</w:t>
      </w:r>
      <w:r>
        <w:rPr>
          <w:rFonts w:hint="eastAsia" w:ascii="宋体" w:hAnsi="宋体" w:cs="Arial"/>
          <w:szCs w:val="21"/>
        </w:rPr>
        <w:t>）未平仓的股票期权合约面值不得超过基金资产净值的 20%。其中，合约面值按照行权价乘以合约乘数计算；</w:t>
      </w:r>
    </w:p>
    <w:p>
      <w:pPr>
        <w:spacing w:line="360" w:lineRule="auto"/>
        <w:ind w:firstLine="420" w:firstLineChars="200"/>
        <w:rPr>
          <w:rFonts w:ascii="宋体" w:hAnsi="宋体" w:cs="Arial"/>
          <w:szCs w:val="21"/>
        </w:rPr>
      </w:pPr>
      <w:r>
        <w:rPr>
          <w:rFonts w:hint="eastAsia" w:ascii="宋体" w:hAnsi="宋体" w:cs="Arial"/>
          <w:szCs w:val="21"/>
        </w:rPr>
        <w:t>（11）本基金参与转融通证券出借交易的，需遵守下列规定：</w:t>
      </w:r>
    </w:p>
    <w:p>
      <w:pPr>
        <w:spacing w:line="360" w:lineRule="auto"/>
        <w:ind w:firstLine="420" w:firstLineChars="200"/>
        <w:rPr>
          <w:rFonts w:ascii="宋体" w:hAnsi="宋体" w:cs="Arial"/>
          <w:szCs w:val="21"/>
        </w:rPr>
      </w:pPr>
      <w:r>
        <w:rPr>
          <w:rFonts w:hint="eastAsia" w:ascii="宋体" w:hAnsi="宋体" w:cs="Arial"/>
          <w:szCs w:val="21"/>
        </w:rPr>
        <w:t xml:space="preserve">1）出借证券资产不得超过基金资产净值的 30%，出借期限在10个交易日以上的出借证券应纳入《流动性风险管理规定》所述流动性受限证券的范围； </w:t>
      </w:r>
    </w:p>
    <w:p>
      <w:pPr>
        <w:spacing w:line="360" w:lineRule="auto"/>
        <w:ind w:firstLine="420" w:firstLineChars="200"/>
        <w:rPr>
          <w:rFonts w:ascii="宋体" w:hAnsi="宋体" w:cs="Arial"/>
          <w:szCs w:val="21"/>
        </w:rPr>
      </w:pPr>
      <w:r>
        <w:rPr>
          <w:rFonts w:hint="eastAsia" w:ascii="宋体" w:hAnsi="宋体" w:cs="Arial"/>
          <w:szCs w:val="21"/>
        </w:rPr>
        <w:t>2）参与出借业务的单只证券不得超过基金持有该证券总量的50%；</w:t>
      </w:r>
    </w:p>
    <w:p>
      <w:pPr>
        <w:spacing w:line="360" w:lineRule="auto"/>
        <w:ind w:firstLine="420" w:firstLineChars="200"/>
        <w:rPr>
          <w:rFonts w:ascii="宋体" w:hAnsi="宋体" w:cs="Arial"/>
          <w:szCs w:val="21"/>
        </w:rPr>
      </w:pPr>
      <w:r>
        <w:rPr>
          <w:rFonts w:hint="eastAsia" w:ascii="宋体" w:hAnsi="宋体" w:cs="Arial"/>
          <w:szCs w:val="21"/>
        </w:rPr>
        <w:t>3）最近6个月内日均基金资产净值不得低于2亿元；</w:t>
      </w:r>
    </w:p>
    <w:p>
      <w:pPr>
        <w:spacing w:line="360" w:lineRule="auto"/>
        <w:ind w:firstLine="420" w:firstLineChars="200"/>
        <w:rPr>
          <w:rFonts w:ascii="宋体" w:hAnsi="宋体" w:cs="Arial"/>
          <w:szCs w:val="21"/>
        </w:rPr>
      </w:pPr>
      <w:r>
        <w:rPr>
          <w:rFonts w:hint="eastAsia" w:ascii="宋体" w:hAnsi="宋体" w:cs="Arial"/>
          <w:szCs w:val="21"/>
        </w:rPr>
        <w:t>4）证券出借的平均剩余期限不得超过30天，平均剩余期限按照市值加权平均计算；</w:t>
      </w:r>
    </w:p>
    <w:p>
      <w:pPr>
        <w:spacing w:line="360" w:lineRule="auto"/>
        <w:ind w:firstLine="420" w:firstLineChars="200"/>
        <w:rPr>
          <w:rFonts w:ascii="宋体" w:hAnsi="宋体" w:cs="Arial"/>
          <w:szCs w:val="21"/>
        </w:rPr>
      </w:pPr>
      <w:r>
        <w:rPr>
          <w:rFonts w:hint="eastAsia" w:ascii="宋体" w:hAnsi="宋体" w:cs="Arial"/>
          <w:szCs w:val="21"/>
        </w:rPr>
        <w:t>5）因证券市场波动、证券发行人合并、基金规模变动等基金管理人之外的因素致使基金投资不符合上述规定的，基金管理人不得新增出借业务；</w:t>
      </w:r>
    </w:p>
    <w:p>
      <w:pPr>
        <w:spacing w:line="360" w:lineRule="auto"/>
        <w:ind w:firstLine="420" w:firstLineChars="200"/>
        <w:rPr>
          <w:rFonts w:ascii="宋体" w:hAnsi="宋体" w:cs="Arial"/>
          <w:szCs w:val="21"/>
        </w:rPr>
      </w:pPr>
      <w:r>
        <w:rPr>
          <w:rFonts w:hint="eastAsia" w:ascii="宋体" w:hAnsi="宋体" w:cs="Arial"/>
          <w:szCs w:val="21"/>
        </w:rPr>
        <w:t>（12）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20" w:firstLineChars="200"/>
        <w:rPr>
          <w:rFonts w:ascii="宋体" w:hAnsi="宋体" w:cs="Arial"/>
          <w:szCs w:val="21"/>
        </w:rPr>
      </w:pPr>
      <w:r>
        <w:rPr>
          <w:rFonts w:hint="eastAsia" w:ascii="宋体" w:hAnsi="宋体" w:cs="Arial"/>
          <w:szCs w:val="21"/>
        </w:rPr>
        <w:t>（1</w:t>
      </w:r>
      <w:r>
        <w:rPr>
          <w:rFonts w:ascii="宋体" w:hAnsi="宋体" w:cs="Arial"/>
          <w:szCs w:val="21"/>
        </w:rPr>
        <w:t>3</w:t>
      </w:r>
      <w:r>
        <w:rPr>
          <w:rFonts w:hint="eastAsia" w:ascii="宋体" w:hAnsi="宋体" w:cs="Arial"/>
          <w:szCs w:val="21"/>
        </w:rPr>
        <w:t>）本基金资产总值不超过基金资产净值的140%；</w:t>
      </w:r>
    </w:p>
    <w:p>
      <w:pPr>
        <w:spacing w:line="360" w:lineRule="auto"/>
        <w:ind w:firstLine="420" w:firstLineChars="200"/>
        <w:rPr>
          <w:rFonts w:ascii="宋体" w:hAnsi="宋体" w:cs="Arial"/>
          <w:szCs w:val="21"/>
        </w:rPr>
      </w:pPr>
      <w:r>
        <w:rPr>
          <w:rFonts w:hint="eastAsia" w:ascii="宋体" w:hAnsi="宋体" w:cs="Arial"/>
          <w:szCs w:val="21"/>
        </w:rPr>
        <w:t>（1</w:t>
      </w:r>
      <w:r>
        <w:rPr>
          <w:rFonts w:ascii="宋体" w:hAnsi="宋体" w:cs="Arial"/>
          <w:szCs w:val="21"/>
        </w:rPr>
        <w:t>4</w:t>
      </w:r>
      <w:r>
        <w:rPr>
          <w:rFonts w:hint="eastAsia" w:ascii="宋体" w:hAnsi="宋体" w:cs="Arial"/>
          <w:szCs w:val="21"/>
        </w:rPr>
        <w:t>）本基金参与融资的，每个交易日日终，本基金持有的融资买入股票与其他有价证券市值之和，不得超过基金资产净值的95%；</w:t>
      </w:r>
    </w:p>
    <w:p>
      <w:pPr>
        <w:spacing w:line="360" w:lineRule="auto"/>
        <w:ind w:firstLine="420" w:firstLineChars="200"/>
        <w:rPr>
          <w:rFonts w:ascii="宋体" w:hAnsi="宋体" w:cs="Arial"/>
          <w:szCs w:val="21"/>
        </w:rPr>
      </w:pPr>
      <w:r>
        <w:rPr>
          <w:rFonts w:hint="eastAsia" w:ascii="宋体" w:hAnsi="宋体" w:cs="Arial"/>
          <w:szCs w:val="21"/>
        </w:rPr>
        <w:t>（1</w:t>
      </w:r>
      <w:r>
        <w:rPr>
          <w:rFonts w:ascii="宋体" w:hAnsi="宋体" w:cs="Arial"/>
          <w:szCs w:val="21"/>
        </w:rPr>
        <w:t>5</w:t>
      </w:r>
      <w:r>
        <w:rPr>
          <w:rFonts w:hint="eastAsia" w:ascii="宋体" w:hAnsi="宋体" w:cs="Arial"/>
          <w:szCs w:val="21"/>
        </w:rPr>
        <w:t>）本基金投资存托凭证的比例限制依照境内上市交易的股票执行；</w:t>
      </w:r>
    </w:p>
    <w:p>
      <w:pPr>
        <w:spacing w:line="360" w:lineRule="auto"/>
        <w:ind w:firstLine="420" w:firstLineChars="200"/>
        <w:rPr>
          <w:rFonts w:ascii="宋体" w:hAnsi="宋体" w:cs="Arial"/>
          <w:szCs w:val="21"/>
        </w:rPr>
      </w:pPr>
      <w:r>
        <w:rPr>
          <w:rFonts w:hint="eastAsia" w:ascii="宋体" w:hAnsi="宋体" w:cs="Arial"/>
          <w:szCs w:val="21"/>
        </w:rPr>
        <w:t>（1</w:t>
      </w:r>
      <w:r>
        <w:rPr>
          <w:rFonts w:ascii="宋体" w:hAnsi="宋体" w:cs="Arial"/>
          <w:szCs w:val="21"/>
        </w:rPr>
        <w:t>6</w:t>
      </w:r>
      <w:r>
        <w:rPr>
          <w:rFonts w:hint="eastAsia" w:ascii="宋体" w:hAnsi="宋体" w:cs="Arial"/>
          <w:szCs w:val="21"/>
        </w:rPr>
        <w:t>）法律法规及中国证监会规定的和《基金合同》约定的其他投资限制。</w:t>
      </w:r>
    </w:p>
    <w:p>
      <w:pPr>
        <w:spacing w:line="360" w:lineRule="auto"/>
        <w:ind w:firstLine="420" w:firstLineChars="200"/>
        <w:rPr>
          <w:rFonts w:ascii="宋体" w:hAnsi="宋体" w:cs="Arial"/>
          <w:szCs w:val="21"/>
        </w:rPr>
      </w:pPr>
      <w:r>
        <w:rPr>
          <w:rFonts w:hint="eastAsia" w:ascii="宋体" w:hAnsi="宋体" w:cs="Arial"/>
          <w:szCs w:val="21"/>
        </w:rPr>
        <w:t>除上述（1）、（2）、（7）、（11）、（12）情形之外，因证券/期货市场波动、证券发行人合并、基金规模变动、标的指数成份股调整、标的指数成份股流动性限制、目标ETF暂停申购/赎回或二级市场交易停牌等基金管理人之外的因素致使基金投资比例不符合上述规定投资比例的，基金管理人应当在10个交易日内进行调整，但中国证监会规定的特殊情形除外。因证券/期货市场波动、证券发行人合并、基金规模变动、标的指数成份股调整、标的指数成份股流动性限制、目标ETF暂停申购/赎回或二级市场交易停牌等基金管理人之外的因素致使基金投资比例不符合上述第（1）项规定的比例的，基金管理人应当在20个交易日内进行调整。法律法规另有规定的，从其规定。</w:t>
      </w:r>
    </w:p>
    <w:p>
      <w:pPr>
        <w:spacing w:line="360" w:lineRule="auto"/>
        <w:ind w:firstLine="420" w:firstLineChars="200"/>
        <w:rPr>
          <w:rFonts w:ascii="宋体" w:hAnsi="宋体" w:cs="Arial"/>
          <w:szCs w:val="21"/>
        </w:rPr>
      </w:pPr>
      <w:r>
        <w:rPr>
          <w:rFonts w:hint="eastAsia" w:ascii="宋体" w:hAnsi="宋体" w:cs="Arial"/>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pacing w:line="360" w:lineRule="auto"/>
        <w:ind w:firstLine="420" w:firstLineChars="200"/>
        <w:rPr>
          <w:rFonts w:ascii="宋体" w:hAnsi="宋体" w:cs="Arial"/>
          <w:szCs w:val="21"/>
        </w:rPr>
      </w:pPr>
      <w:r>
        <w:rPr>
          <w:rFonts w:hint="eastAsia" w:ascii="宋体" w:hAnsi="宋体" w:cs="Arial"/>
          <w:szCs w:val="21"/>
        </w:rPr>
        <w:t>如果法律法规对基金合同约定投资组合比例限制进行变更的，以变更后的规定为准。法律法规或监管部门取消上述限制，如适用于本基金，在履行适当程序后，则本基金投资不再受相关限制。</w:t>
      </w:r>
    </w:p>
    <w:p>
      <w:pPr>
        <w:spacing w:line="360" w:lineRule="auto"/>
        <w:ind w:firstLine="420" w:firstLineChars="200"/>
        <w:rPr>
          <w:rFonts w:ascii="宋体" w:hAnsi="宋体" w:cs="Arial"/>
          <w:szCs w:val="21"/>
        </w:rPr>
      </w:pPr>
      <w:r>
        <w:rPr>
          <w:rFonts w:hint="eastAsia" w:ascii="宋体" w:hAnsi="宋体" w:cs="Arial"/>
          <w:szCs w:val="21"/>
        </w:rPr>
        <w:t>（三）基金托管人根据有关法律法规的规定及《基金合同》的约定，对本托管协议第十五条第九款基金投资禁止行为通过事后监督方式进行监督。</w:t>
      </w:r>
    </w:p>
    <w:p>
      <w:pPr>
        <w:spacing w:line="360" w:lineRule="auto"/>
        <w:ind w:firstLine="420" w:firstLineChars="200"/>
        <w:rPr>
          <w:rFonts w:ascii="宋体" w:hAnsi="宋体" w:cs="Arial"/>
          <w:szCs w:val="21"/>
        </w:rPr>
      </w:pPr>
      <w:r>
        <w:rPr>
          <w:rFonts w:hint="eastAsia" w:ascii="宋体" w:hAnsi="宋体" w:cs="Arial"/>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20" w:firstLineChars="200"/>
        <w:rPr>
          <w:rFonts w:ascii="宋体" w:hAnsi="宋体" w:cs="Arial"/>
          <w:szCs w:val="21"/>
        </w:rPr>
      </w:pPr>
      <w:r>
        <w:rPr>
          <w:rFonts w:hint="eastAsia" w:ascii="宋体" w:hAnsi="宋体" w:cs="Arial"/>
          <w:szCs w:val="21"/>
        </w:rPr>
        <w:t>法律、行政法规或监管部门取消或变更上述规定，如适用于本基金，基金管理人在履行适当程序后，则本基金投资不再受相关限制或按变更后的规定执行。</w:t>
      </w:r>
    </w:p>
    <w:p>
      <w:pPr>
        <w:spacing w:line="360" w:lineRule="auto"/>
        <w:ind w:firstLine="420" w:firstLineChars="200"/>
        <w:rPr>
          <w:rFonts w:ascii="宋体" w:hAnsi="宋体" w:cs="Arial"/>
          <w:szCs w:val="21"/>
        </w:rPr>
      </w:pPr>
      <w:r>
        <w:rPr>
          <w:rFonts w:hint="eastAsia" w:ascii="宋体" w:hAnsi="宋体" w:cs="Arial"/>
          <w:szCs w:val="21"/>
        </w:rPr>
        <w:t>（四）基金托管人根据有关法律法规的规定及《基金合同》的约定，对基金管理人参与银行间债券市场进行监督。</w:t>
      </w:r>
    </w:p>
    <w:p>
      <w:pPr>
        <w:spacing w:line="360" w:lineRule="auto"/>
        <w:ind w:firstLine="420" w:firstLineChars="200"/>
        <w:rPr>
          <w:rFonts w:ascii="宋体" w:hAnsi="宋体" w:cs="Arial"/>
          <w:szCs w:val="21"/>
        </w:rPr>
      </w:pPr>
      <w:r>
        <w:rPr>
          <w:rFonts w:hint="eastAsia" w:ascii="宋体" w:hAnsi="宋体" w:cs="Arial"/>
          <w:szCs w:val="21"/>
        </w:rPr>
        <w:t>（五）基金托管人根据有关法律法规的规定及《基金合同》的约定，对基金管理人投资流通受限证券进行监督。</w:t>
      </w:r>
    </w:p>
    <w:p>
      <w:pPr>
        <w:spacing w:line="360" w:lineRule="auto"/>
        <w:ind w:firstLine="420" w:firstLineChars="200"/>
        <w:rPr>
          <w:rFonts w:ascii="宋体" w:hAnsi="宋体" w:cs="Arial"/>
          <w:szCs w:val="21"/>
        </w:rPr>
      </w:pPr>
      <w:r>
        <w:rPr>
          <w:rFonts w:hint="eastAsia" w:ascii="宋体" w:hAnsi="宋体" w:cs="Arial"/>
          <w:szCs w:val="21"/>
        </w:rPr>
        <w:t>基金管理人投资流通受限证券，应事先根据中国证监会相关规定，明确基金投资流通受限证券的比例，制订严格的投资决策流程和风险控制制度，防范流动性风险、法律风险和操作风险等各种风险。</w:t>
      </w:r>
    </w:p>
    <w:p>
      <w:pPr>
        <w:spacing w:line="360" w:lineRule="auto"/>
        <w:ind w:firstLine="420" w:firstLineChars="200"/>
        <w:rPr>
          <w:rFonts w:ascii="宋体" w:hAnsi="宋体" w:cs="Arial"/>
          <w:szCs w:val="21"/>
        </w:rPr>
      </w:pPr>
      <w:r>
        <w:rPr>
          <w:rFonts w:hint="eastAsia" w:ascii="宋体" w:hAnsi="宋体" w:cs="Arial"/>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pPr>
        <w:spacing w:line="360" w:lineRule="auto"/>
        <w:ind w:firstLine="420" w:firstLineChars="200"/>
        <w:rPr>
          <w:rFonts w:ascii="宋体" w:hAnsi="宋体" w:cs="Arial"/>
          <w:szCs w:val="21"/>
        </w:rPr>
      </w:pPr>
      <w:r>
        <w:rPr>
          <w:rFonts w:hint="eastAsia" w:ascii="宋体" w:hAnsi="宋体" w:cs="Arial"/>
          <w:szCs w:val="21"/>
        </w:rPr>
        <w:t>本基金投资的流通受限证券限于可由中国证券登记结算有限责任公司或中央国债登记结算有限责任公司负责登记和存管，并可在证券交易所或全国银行间债券市场交易的证券。</w:t>
      </w:r>
    </w:p>
    <w:p>
      <w:pPr>
        <w:spacing w:line="360" w:lineRule="auto"/>
        <w:ind w:firstLine="420" w:firstLineChars="200"/>
        <w:rPr>
          <w:rFonts w:ascii="宋体" w:hAnsi="宋体" w:cs="Arial"/>
          <w:szCs w:val="21"/>
        </w:rPr>
      </w:pPr>
      <w:r>
        <w:rPr>
          <w:rFonts w:hint="eastAsia" w:ascii="宋体" w:hAnsi="宋体" w:cs="Arial"/>
          <w:szCs w:val="21"/>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pPr>
        <w:spacing w:line="360" w:lineRule="auto"/>
        <w:ind w:firstLine="420" w:firstLineChars="200"/>
        <w:rPr>
          <w:rFonts w:ascii="宋体" w:hAnsi="宋体" w:cs="Arial"/>
          <w:szCs w:val="21"/>
        </w:rPr>
      </w:pPr>
      <w:r>
        <w:rPr>
          <w:rFonts w:hint="eastAsia" w:ascii="宋体" w:hAnsi="宋体" w:cs="Arial"/>
          <w:szCs w:val="21"/>
        </w:rPr>
        <w:t>本基金投资流通受限证券，不得预付任何形式的保证金，若有最新监管政策根据最新政策进行。</w:t>
      </w:r>
    </w:p>
    <w:p>
      <w:pPr>
        <w:spacing w:line="360" w:lineRule="auto"/>
        <w:ind w:firstLine="420" w:firstLineChars="200"/>
        <w:rPr>
          <w:rFonts w:ascii="宋体" w:hAnsi="宋体" w:cs="Arial"/>
          <w:szCs w:val="21"/>
        </w:rPr>
      </w:pPr>
      <w:r>
        <w:rPr>
          <w:rFonts w:hint="eastAsia" w:ascii="宋体" w:hAnsi="宋体" w:cs="Arial"/>
          <w:szCs w:val="21"/>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pPr>
        <w:spacing w:line="360" w:lineRule="auto"/>
        <w:ind w:firstLine="420" w:firstLineChars="200"/>
        <w:rPr>
          <w:rFonts w:ascii="宋体" w:hAnsi="宋体" w:cs="Arial"/>
          <w:szCs w:val="21"/>
        </w:rPr>
      </w:pPr>
      <w:r>
        <w:rPr>
          <w:rFonts w:hint="eastAsia" w:ascii="宋体" w:hAnsi="宋体" w:cs="Arial"/>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w:t>
      </w:r>
      <w:r>
        <w:rPr>
          <w:rFonts w:ascii="宋体" w:hAnsi="宋体" w:cs="Arial"/>
          <w:szCs w:val="21"/>
        </w:rPr>
        <w:t>所有</w:t>
      </w:r>
      <w:r>
        <w:rPr>
          <w:rFonts w:hint="eastAsia" w:ascii="宋体" w:hAnsi="宋体" w:cs="Arial"/>
          <w:szCs w:val="21"/>
        </w:rPr>
        <w:t>损失。对本基金因投资流通受限证券导致的流动性风险，由基金管理人承担。如因基金管理人原因导致本基金出现损失致使基金托管人承担连带赔偿责任的，基金管理人应赔偿基金托管人由此遭受的损失。</w:t>
      </w:r>
    </w:p>
    <w:p>
      <w:pPr>
        <w:spacing w:line="360" w:lineRule="auto"/>
        <w:ind w:firstLine="420" w:firstLineChars="200"/>
        <w:rPr>
          <w:rFonts w:ascii="宋体" w:hAnsi="宋体" w:cs="Arial"/>
          <w:szCs w:val="21"/>
        </w:rPr>
      </w:pPr>
      <w:r>
        <w:rPr>
          <w:rFonts w:hint="eastAsia" w:ascii="宋体" w:hAnsi="宋体" w:cs="Arial"/>
          <w:szCs w:val="21"/>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pPr>
        <w:spacing w:line="360" w:lineRule="auto"/>
        <w:ind w:firstLine="420" w:firstLineChars="200"/>
        <w:rPr>
          <w:rFonts w:ascii="宋体" w:hAnsi="宋体" w:cs="Arial"/>
          <w:szCs w:val="21"/>
        </w:rPr>
      </w:pPr>
      <w:r>
        <w:rPr>
          <w:rFonts w:hint="eastAsia" w:ascii="宋体" w:hAnsi="宋体" w:cs="Arial"/>
          <w:szCs w:val="21"/>
        </w:rPr>
        <w:t>（1）中国证监会批准发行非公开发行股票的批准文件。</w:t>
      </w:r>
    </w:p>
    <w:p>
      <w:pPr>
        <w:spacing w:line="360" w:lineRule="auto"/>
        <w:ind w:firstLine="420" w:firstLineChars="200"/>
        <w:rPr>
          <w:rFonts w:ascii="宋体" w:hAnsi="宋体" w:cs="Arial"/>
          <w:szCs w:val="21"/>
        </w:rPr>
      </w:pPr>
      <w:r>
        <w:rPr>
          <w:rFonts w:hint="eastAsia" w:ascii="宋体" w:hAnsi="宋体" w:cs="Arial"/>
          <w:szCs w:val="21"/>
        </w:rPr>
        <w:t>（2）非公开发行股票有关发行数量、发行价格、锁定期等发行资料。</w:t>
      </w:r>
    </w:p>
    <w:p>
      <w:pPr>
        <w:spacing w:line="360" w:lineRule="auto"/>
        <w:ind w:firstLine="420" w:firstLineChars="200"/>
        <w:rPr>
          <w:rFonts w:ascii="宋体" w:hAnsi="宋体" w:cs="Arial"/>
          <w:szCs w:val="21"/>
        </w:rPr>
      </w:pPr>
      <w:r>
        <w:rPr>
          <w:rFonts w:hint="eastAsia" w:ascii="宋体" w:hAnsi="宋体" w:cs="Arial"/>
          <w:szCs w:val="21"/>
        </w:rPr>
        <w:t>（3）基金拟认购的数量、价格、总成本、账面价值。</w:t>
      </w:r>
    </w:p>
    <w:p>
      <w:pPr>
        <w:spacing w:line="360" w:lineRule="auto"/>
        <w:ind w:firstLine="420" w:firstLineChars="200"/>
        <w:rPr>
          <w:rFonts w:ascii="宋体" w:hAnsi="宋体" w:cs="Arial"/>
          <w:szCs w:val="21"/>
        </w:rPr>
      </w:pPr>
      <w:r>
        <w:rPr>
          <w:rFonts w:hint="eastAsia" w:ascii="宋体" w:hAnsi="宋体" w:cs="Arial"/>
          <w:szCs w:val="21"/>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pPr>
        <w:spacing w:line="360" w:lineRule="auto"/>
        <w:ind w:firstLine="420" w:firstLineChars="200"/>
        <w:rPr>
          <w:rFonts w:ascii="宋体" w:hAnsi="宋体" w:cs="Arial"/>
          <w:szCs w:val="21"/>
        </w:rPr>
      </w:pPr>
      <w:r>
        <w:rPr>
          <w:rFonts w:hint="eastAsia" w:ascii="宋体" w:hAnsi="宋体" w:cs="Arial"/>
          <w:szCs w:val="21"/>
        </w:rPr>
        <w:t>本基金有关投资流通受限证券比例如违反有关限制规定，在合理期限内未能进行及时调整，基金管理人应在两个工作日内编制临时报告书，予以公告。</w:t>
      </w:r>
    </w:p>
    <w:p>
      <w:pPr>
        <w:spacing w:line="360" w:lineRule="auto"/>
        <w:ind w:firstLine="420" w:firstLineChars="200"/>
        <w:rPr>
          <w:rFonts w:ascii="宋体" w:hAnsi="宋体" w:cs="Arial"/>
          <w:szCs w:val="21"/>
        </w:rPr>
      </w:pPr>
      <w:r>
        <w:rPr>
          <w:rFonts w:hint="eastAsia" w:ascii="宋体" w:hAnsi="宋体" w:cs="Arial"/>
          <w:szCs w:val="21"/>
        </w:rPr>
        <w:t>5.相关法律法规对基金投资流通受限证券有新规定的，从其规定。</w:t>
      </w:r>
    </w:p>
    <w:p>
      <w:pPr>
        <w:spacing w:line="360" w:lineRule="auto"/>
        <w:ind w:firstLine="420" w:firstLineChars="200"/>
        <w:rPr>
          <w:rFonts w:ascii="宋体" w:hAnsi="宋体" w:cs="Arial"/>
          <w:szCs w:val="21"/>
        </w:rPr>
      </w:pPr>
      <w:r>
        <w:rPr>
          <w:rFonts w:hint="eastAsia" w:ascii="宋体" w:hAnsi="宋体" w:cs="Arial"/>
          <w:szCs w:val="21"/>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pPr>
        <w:spacing w:line="360" w:lineRule="auto"/>
        <w:ind w:firstLine="420" w:firstLineChars="200"/>
        <w:rPr>
          <w:rFonts w:ascii="宋体" w:hAnsi="宋体" w:cs="Arial"/>
          <w:szCs w:val="21"/>
        </w:rPr>
      </w:pPr>
      <w:r>
        <w:rPr>
          <w:rFonts w:hint="eastAsia" w:ascii="宋体" w:hAnsi="宋体" w:cs="Arial"/>
          <w:szCs w:val="21"/>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及时核对并以书面形式给基金托管人发出回函，就基金托管人的合理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pPr>
        <w:spacing w:line="360" w:lineRule="auto"/>
        <w:ind w:firstLine="420" w:firstLineChars="200"/>
        <w:rPr>
          <w:rFonts w:ascii="宋体" w:hAnsi="宋体" w:cs="Arial"/>
          <w:szCs w:val="21"/>
        </w:rPr>
      </w:pPr>
      <w:r>
        <w:rPr>
          <w:rFonts w:hint="eastAsia" w:ascii="宋体" w:hAnsi="宋体" w:cs="Arial"/>
          <w:szCs w:val="21"/>
        </w:rPr>
        <w:t>（八）基金管理人有义务配合和协助基金托管人依照法律法规、《基金合同》和本托管协议对基金业务执行核查。对基金托管人发出的书面提示，基金管理人应在规定时间内答复并改正，或就基金托管人的合理疑义进行解释或举证；对基金托管人按照法律法规、《基金合同》和本托管协议的要求需向中国证监会报送基金监督报告的事项，基金管理人应积极配合提供相关数据资料和制度等。</w:t>
      </w:r>
    </w:p>
    <w:p>
      <w:pPr>
        <w:spacing w:line="360" w:lineRule="auto"/>
        <w:ind w:firstLine="420" w:firstLineChars="200"/>
        <w:rPr>
          <w:rFonts w:ascii="宋体" w:hAnsi="宋体" w:cs="Arial"/>
          <w:szCs w:val="21"/>
        </w:rPr>
      </w:pPr>
      <w:r>
        <w:rPr>
          <w:rFonts w:hint="eastAsia" w:ascii="宋体" w:hAnsi="宋体" w:cs="Arial"/>
          <w:szCs w:val="21"/>
        </w:rPr>
        <w:t>（九）若基金托管人发现基金管理人依据交易程序已经生效的指令违反法律、行政法规和其他有关规定，或者违反《基金合同》约定的，应当立即通知基金管理人，由此造成的相应损失由基金管理人承担。</w:t>
      </w:r>
    </w:p>
    <w:p>
      <w:pPr>
        <w:spacing w:line="360" w:lineRule="auto"/>
        <w:ind w:firstLine="420" w:firstLineChars="200"/>
        <w:rPr>
          <w:rFonts w:ascii="宋体" w:hAnsi="宋体" w:cs="Arial"/>
          <w:szCs w:val="21"/>
        </w:rPr>
      </w:pPr>
      <w:r>
        <w:rPr>
          <w:rFonts w:hint="eastAsia" w:ascii="宋体" w:hAnsi="宋体" w:cs="Arial"/>
          <w:szCs w:val="21"/>
        </w:rPr>
        <w:t>（十）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基金托管人进行有效监督，情节严重或经基金托管人提出警告仍不改正的，基金托管人应报告中国证监会。</w:t>
      </w:r>
    </w:p>
    <w:p>
      <w:pPr>
        <w:spacing w:line="360" w:lineRule="auto"/>
        <w:ind w:firstLine="420" w:firstLineChars="200"/>
        <w:rPr>
          <w:rFonts w:ascii="宋体" w:hAnsi="宋体" w:cs="Arial"/>
          <w:szCs w:val="21"/>
        </w:rPr>
      </w:pPr>
      <w:r>
        <w:rPr>
          <w:rFonts w:hint="eastAsia" w:ascii="宋体" w:hAnsi="宋体" w:cs="Arial"/>
          <w:szCs w:val="21"/>
        </w:rPr>
        <w:t>（十一）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pPr>
        <w:spacing w:line="360" w:lineRule="auto"/>
        <w:ind w:firstLine="420" w:firstLineChars="200"/>
        <w:rPr>
          <w:rFonts w:ascii="宋体" w:hAnsi="宋体" w:cs="Arial"/>
          <w:szCs w:val="21"/>
        </w:rPr>
      </w:pPr>
      <w:r>
        <w:rPr>
          <w:rFonts w:hint="eastAsia" w:ascii="宋体" w:hAnsi="宋体" w:cs="Arial"/>
          <w:szCs w:val="21"/>
        </w:rPr>
        <w:t>基金托管人依照相关法律法规的规定和基金合同的约定，对侧袋机制启用、特定资产处置和信息披露等方面进行监督。侧袋机制实施期间的具体规则依照相关法律法规的规定和基金合同的约定执行。</w:t>
      </w:r>
    </w:p>
    <w:bookmarkEnd w:id="15"/>
    <w:p>
      <w:pPr>
        <w:adjustRightInd w:val="0"/>
        <w:snapToGrid w:val="0"/>
        <w:spacing w:line="360" w:lineRule="auto"/>
        <w:ind w:firstLine="420" w:firstLineChars="200"/>
        <w:rPr>
          <w:rFonts w:ascii="宋体" w:hAnsi="宋体"/>
        </w:rPr>
        <w:sectPr>
          <w:footerReference r:id="rId9" w:type="default"/>
          <w:pgSz w:w="11906" w:h="16838"/>
          <w:pgMar w:top="1418" w:right="1701" w:bottom="1418" w:left="1701" w:header="851" w:footer="992" w:gutter="0"/>
          <w:pgNumType w:fmt="decimal"/>
          <w:cols w:space="425" w:num="1"/>
          <w:docGrid w:type="lines" w:linePitch="312" w:charSpace="0"/>
        </w:sectPr>
      </w:pPr>
    </w:p>
    <w:p>
      <w:pPr>
        <w:pStyle w:val="4"/>
        <w:spacing w:before="312" w:beforeLines="100" w:after="156" w:afterLines="50" w:line="360" w:lineRule="auto"/>
        <w:jc w:val="center"/>
        <w:rPr>
          <w:rFonts w:ascii="宋体" w:hAnsi="宋体" w:eastAsia="宋体"/>
          <w:sz w:val="21"/>
          <w:szCs w:val="21"/>
        </w:rPr>
      </w:pPr>
      <w:bookmarkStart w:id="18" w:name="_Toc110830492"/>
      <w:bookmarkStart w:id="19" w:name="_Toc86727355"/>
      <w:bookmarkStart w:id="20" w:name="_Toc108512358"/>
      <w:bookmarkStart w:id="21" w:name="_Toc89163368"/>
      <w:bookmarkStart w:id="22" w:name="_Toc110765660"/>
      <w:bookmarkStart w:id="23" w:name="_Toc118972648"/>
      <w:bookmarkStart w:id="24" w:name="_Toc86223242"/>
      <w:bookmarkStart w:id="25" w:name="_Toc120435783"/>
      <w:bookmarkStart w:id="26" w:name="_Toc86726439"/>
      <w:bookmarkStart w:id="27" w:name="_Toc118212950"/>
      <w:bookmarkStart w:id="28" w:name="_Toc110761796"/>
      <w:bookmarkStart w:id="29" w:name="_Toc348082032"/>
      <w:bookmarkStart w:id="30" w:name="_Toc86649722"/>
      <w:bookmarkStart w:id="31" w:name="_Toc119402710"/>
      <w:bookmarkStart w:id="32" w:name="_Toc86737929"/>
      <w:bookmarkStart w:id="33" w:name="_Toc86225291"/>
      <w:bookmarkStart w:id="34" w:name="_Toc118774803"/>
      <w:bookmarkStart w:id="35" w:name="CLAUSE_a399892380f343b6acf53a2a22858fb4"/>
      <w:r>
        <w:t xml:space="preserve"> </w:t>
      </w:r>
      <w:bookmarkStart w:id="36" w:name="CTS_a399892380f343b6acf53a2a22858fb4"/>
      <w:bookmarkEnd w:id="36"/>
      <w:bookmarkStart w:id="37" w:name="_Toc22287"/>
      <w:r>
        <w:rPr>
          <w:rFonts w:hint="eastAsia" w:ascii="宋体" w:hAnsi="宋体" w:eastAsia="宋体"/>
          <w:sz w:val="21"/>
          <w:szCs w:val="21"/>
        </w:rPr>
        <w:t>四、基金管理人对基金托管人的业务核查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7"/>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一）基金管理人对基金托管人履行托管职责情况进行核查，核查事项包括基金托管人安全保管基金财产、开设基金财产的资金账户和证券账户、复核基金管理人计算的基金资产净值和各类基金份额净值、根据基金管理人指令办理清算交收、相关信息披露和监督基金投资运作等行为。</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pPr>
        <w:spacing w:line="360" w:lineRule="auto"/>
        <w:rPr>
          <w:rFonts w:ascii="宋体" w:hAnsi="宋体"/>
          <w:szCs w:val="21"/>
        </w:rPr>
      </w:pPr>
    </w:p>
    <w:bookmarkEnd w:id="35"/>
    <w:p>
      <w:pPr>
        <w:adjustRightInd w:val="0"/>
        <w:snapToGrid w:val="0"/>
        <w:spacing w:line="360" w:lineRule="auto"/>
        <w:ind w:firstLine="420" w:firstLineChars="200"/>
        <w:rPr>
          <w:rFonts w:ascii="宋体" w:hAnsi="宋体"/>
        </w:rPr>
        <w:sectPr>
          <w:footerReference r:id="rId10" w:type="default"/>
          <w:pgSz w:w="11906" w:h="16838"/>
          <w:pgMar w:top="1418" w:right="1701" w:bottom="1418" w:left="1701" w:header="851" w:footer="992" w:gutter="0"/>
          <w:pgNumType w:fmt="decimal"/>
          <w:cols w:space="425" w:num="1"/>
          <w:docGrid w:type="lines" w:linePitch="312" w:charSpace="0"/>
        </w:sectPr>
      </w:pPr>
    </w:p>
    <w:p>
      <w:pPr>
        <w:pStyle w:val="4"/>
        <w:spacing w:before="312" w:beforeLines="100" w:after="156" w:afterLines="50" w:line="360" w:lineRule="auto"/>
        <w:jc w:val="center"/>
        <w:rPr>
          <w:rFonts w:ascii="宋体" w:hAnsi="宋体" w:eastAsia="宋体"/>
          <w:sz w:val="21"/>
          <w:szCs w:val="21"/>
        </w:rPr>
      </w:pPr>
      <w:bookmarkStart w:id="38" w:name="_Toc110765661"/>
      <w:bookmarkStart w:id="39" w:name="_Toc119402711"/>
      <w:bookmarkStart w:id="40" w:name="_Toc84234388"/>
      <w:bookmarkStart w:id="41" w:name="_Toc84133786"/>
      <w:bookmarkStart w:id="42" w:name="_Toc118774804"/>
      <w:bookmarkStart w:id="43" w:name="_Toc348082033"/>
      <w:bookmarkStart w:id="44" w:name="_Toc110830493"/>
      <w:bookmarkStart w:id="45" w:name="_Toc86225292"/>
      <w:bookmarkStart w:id="46" w:name="_Toc86737930"/>
      <w:bookmarkStart w:id="47" w:name="_Toc86204789"/>
      <w:bookmarkStart w:id="48" w:name="_Toc86649723"/>
      <w:bookmarkStart w:id="49" w:name="_Toc108512359"/>
      <w:bookmarkStart w:id="50" w:name="_Toc84234435"/>
      <w:bookmarkStart w:id="51" w:name="_Toc120435784"/>
      <w:bookmarkStart w:id="52" w:name="_Toc89163369"/>
      <w:bookmarkStart w:id="53" w:name="_Toc118212951"/>
      <w:bookmarkStart w:id="54" w:name="_Toc86726440"/>
      <w:bookmarkStart w:id="55" w:name="_Toc86727356"/>
      <w:bookmarkStart w:id="56" w:name="_Toc110761797"/>
      <w:bookmarkStart w:id="57" w:name="_Toc86223243"/>
      <w:bookmarkStart w:id="58" w:name="_Toc118972649"/>
      <w:bookmarkStart w:id="59" w:name="CLAUSE_0f3bdbc7f5b5426b987f971198b625bf"/>
      <w:r>
        <w:t xml:space="preserve"> </w:t>
      </w:r>
      <w:bookmarkStart w:id="60" w:name="CTS_0f3bdbc7f5b5426b987f971198b625bf"/>
      <w:bookmarkEnd w:id="60"/>
      <w:bookmarkStart w:id="61" w:name="_Toc10787"/>
      <w:r>
        <w:rPr>
          <w:rFonts w:hint="eastAsia" w:ascii="宋体" w:hAnsi="宋体" w:eastAsia="宋体"/>
          <w:sz w:val="21"/>
          <w:szCs w:val="21"/>
        </w:rPr>
        <w:t>五、基金财产的保管</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61"/>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（一）基金财产保管的原则</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1.基金财产应独立于基金管理人、基金托管人的固有财产。</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2.基金托管人应安全保管基金财产。</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3.基金托管人按照规定开设基金财产的资金账户和证券账户等投资所需账户。</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4.基金托管人对所托管的不同基金财产分别设置账户，分账管理，独立核算，确保基金财产的完整与独立。</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6.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与配合，基金托管人对此不承担</w:t>
      </w:r>
      <w:r>
        <w:rPr>
          <w:rFonts w:ascii="宋体" w:hAnsi="宋体" w:cs="Arial"/>
          <w:szCs w:val="21"/>
        </w:rPr>
        <w:t>任何</w:t>
      </w:r>
      <w:r>
        <w:rPr>
          <w:rFonts w:hint="eastAsia" w:ascii="宋体" w:hAnsi="宋体" w:cs="Arial"/>
          <w:szCs w:val="21"/>
        </w:rPr>
        <w:t>责任。</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7.除依据法律法规和《基金合同》的规定外，基金托管人不得委托第三人托管基金财产。</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（二）基金募集期间及募集资金的验资</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1.基金募集期间募集的资金应存于基金管理人在具有托管资格的商业银行开立的“基金募集专户”。该账户由基金管理人开立并管理。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基金募集期满或基金停止募集时，发起资金提供方认购金额、发起资金提供方承诺其认购的基金份额持有期限符合《基金法》、《运作办法》等有关规定后，基金管理人应将属于基金财产的全部资金划入基金托管人开立的基金银行账户，同时在规定时间内，聘请符合《中华人民共和国证券法》规定的会计师事务所进行验资，出具验资报告，验资报告需对发起资金提供方及其持有份额进行专门说明。出具的验资报告由参加验资的2名或2名以上中国注册会计师签字方为有效。</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3.若基金募集期限届满，未能达到《基金合同》生效的条件，由基金管理人按规定办理退款等事宜，基金托管人应予以必要的协助与配合。</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（三）基金银行账户的开立和管理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1.基金托管人应当以本基金的名义在其营业机构开立基金的银行账户，并根据基金管理人合法合规的指令办理资金收付。本基金的银行预留印鉴由基金托管人保管和使用。</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2.基金银行账户的开立和使用，限于满足开展本基金业务的需要。基金托管人和基金管理人不得假借本基金的名义开立任何其他银行账户；亦不得使用基金的任何账户进行本基金业务以外的活动。</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3.基金银行账户的开立和管理应符合银行业监督管理机构的有关规定。</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4.在符合法律法规规定的条件下，基金托管人可以通过基金托管人专用账户办理基金资产的支付。</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5.基金管理人应于本基金清盘后及时完成收益兑付、费用结清及其他应收应付款项资金划转，在确保后续不再发生款项进出后的10个工作日内向基金托管人发出销户申请。</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（四）基金证券账户和结算备付金账户的开立和管理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1.基金托管人在中国证券登记结算有限责任公司为基金开立基金托管人与基金联名的证券账户。</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3.基金证券账户的开立和证券账户卡的保管由基金托管人负责，账户资产的管理和运用由基金管理人负责。</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证券账户开户费由基金管理人先行垫付，待本基金启始运营后,基金管理人可向基金托管人发送划款指令，将代垫开户费从本基金托管资金账户中扣还基金管理人。</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5.账户注销时，在遵守中国证券登记结算有限责任公司的相关规定下，由基金管理人和基金托管人协商确认主要办理人。账户注销期间，主要办理人如需另一方提供配合的，另一方应予以配合。</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6.若中国证监会或其他监管机构在本托管协议订立日之后允许基金从事其他投资品种的投资业务，涉及相关账户的开立、使用的，若无相关规定，则基金托管人比照上述关于账户开立、使用的规定执行。</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（五）债券托管专户的开设和管理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（六）其他账户的开立和管理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2.法律法规等有关规定对相关账户的开立和管理另有规定的，从其规定办理。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（七）基金财产投资的有关有价凭证等的保管</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（八）与基金财产有关的重大合同的保管</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20年，法律法规或监管部门另有规定的除外。</w:t>
      </w:r>
    </w:p>
    <w:p>
      <w:pPr>
        <w:adjustRightInd w:val="0"/>
        <w:snapToGrid w:val="0"/>
        <w:spacing w:line="360" w:lineRule="auto"/>
        <w:ind w:firstLine="420" w:firstLineChars="200"/>
        <w:rPr>
          <w:rFonts w:ascii="宋体" w:hAnsi="宋体"/>
          <w:szCs w:val="21"/>
        </w:rPr>
      </w:pPr>
      <w:r>
        <w:rPr>
          <w:rFonts w:hint="eastAsia" w:ascii="宋体" w:hAnsi="宋体" w:cs="Arial"/>
          <w:szCs w:val="21"/>
        </w:rPr>
        <w:t>对于无法取得二份以上的正本的，基金管理人应向基金托管人提供合同传真件或复印件并加盖公章，未经双方协商一致，合同原件不得转移</w:t>
      </w:r>
      <w:r>
        <w:rPr>
          <w:rFonts w:hint="eastAsia" w:ascii="宋体" w:hAnsi="宋体"/>
          <w:szCs w:val="21"/>
        </w:rPr>
        <w:t>。</w:t>
      </w:r>
    </w:p>
    <w:bookmarkEnd w:id="59"/>
    <w:p>
      <w:pPr>
        <w:adjustRightInd w:val="0"/>
        <w:snapToGrid w:val="0"/>
        <w:spacing w:line="360" w:lineRule="auto"/>
        <w:rPr>
          <w:rFonts w:ascii="宋体" w:hAnsi="宋体"/>
        </w:rPr>
        <w:sectPr>
          <w:footerReference r:id="rId11" w:type="default"/>
          <w:pgSz w:w="11906" w:h="16838"/>
          <w:pgMar w:top="1418" w:right="1701" w:bottom="1418" w:left="1701" w:header="851" w:footer="992" w:gutter="0"/>
          <w:pgNumType w:fmt="decimal"/>
          <w:cols w:space="425" w:num="1"/>
          <w:docGrid w:type="lines" w:linePitch="312" w:charSpace="0"/>
        </w:sectPr>
      </w:pPr>
    </w:p>
    <w:p>
      <w:pPr>
        <w:pStyle w:val="4"/>
        <w:spacing w:before="312" w:beforeLines="100" w:after="156" w:afterLines="50" w:line="360" w:lineRule="auto"/>
        <w:jc w:val="center"/>
        <w:rPr>
          <w:rFonts w:ascii="宋体" w:hAnsi="宋体" w:eastAsia="宋体"/>
          <w:sz w:val="21"/>
          <w:szCs w:val="21"/>
        </w:rPr>
      </w:pPr>
      <w:bookmarkStart w:id="62" w:name="_Toc86726441"/>
      <w:bookmarkStart w:id="63" w:name="_Toc108512360"/>
      <w:bookmarkStart w:id="64" w:name="_Toc89163370"/>
      <w:bookmarkStart w:id="65" w:name="_Toc86649724"/>
      <w:bookmarkStart w:id="66" w:name="_Toc84234436"/>
      <w:bookmarkStart w:id="67" w:name="_Toc348082034"/>
      <w:bookmarkStart w:id="68" w:name="_Toc86204790"/>
      <w:bookmarkStart w:id="69" w:name="_Toc86225293"/>
      <w:bookmarkStart w:id="70" w:name="_Toc118212952"/>
      <w:bookmarkStart w:id="71" w:name="_Toc118774805"/>
      <w:bookmarkStart w:id="72" w:name="_Toc86727357"/>
      <w:bookmarkStart w:id="73" w:name="_Toc84234389"/>
      <w:bookmarkStart w:id="74" w:name="_Toc118972650"/>
      <w:bookmarkStart w:id="75" w:name="_Toc110830494"/>
      <w:bookmarkStart w:id="76" w:name="_Toc86223244"/>
      <w:bookmarkStart w:id="77" w:name="_Toc110765662"/>
      <w:bookmarkStart w:id="78" w:name="_Toc84133787"/>
      <w:bookmarkStart w:id="79" w:name="_Toc86737931"/>
      <w:bookmarkStart w:id="80" w:name="_Toc119402712"/>
      <w:bookmarkStart w:id="81" w:name="_Toc110761798"/>
      <w:bookmarkStart w:id="82" w:name="_Toc120435785"/>
      <w:bookmarkStart w:id="83" w:name="CLAUSE_1c29d73e57014915a486331040113a8f"/>
      <w:r>
        <w:t xml:space="preserve"> </w:t>
      </w:r>
      <w:bookmarkStart w:id="84" w:name="CTS_1c29d73e57014915a486331040113a8f"/>
      <w:bookmarkEnd w:id="84"/>
      <w:bookmarkStart w:id="85" w:name="_Toc23099"/>
      <w:r>
        <w:rPr>
          <w:rFonts w:hint="eastAsia" w:ascii="宋体" w:hAnsi="宋体" w:eastAsia="宋体"/>
          <w:sz w:val="21"/>
          <w:szCs w:val="21"/>
        </w:rPr>
        <w:t>六、指令的发送、确认及执行</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5"/>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基金管理人在运用基金财产时向基金托管人发送资金划拨及其他款项付款指令，基金托管人执行基金管理人的指令、办理基金名下的资金往来等有关事项。</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（一）基金管理人对发送指令人员的书面授权</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1.基金管理人应指定专人向基金托管人发送指令。</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2.基金管理人应向基金托管人提供书面授权文件，内容包括被授权人名单、预留印鉴及被授权人签字样本，授权文件应注明被授权人相应的权限。</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4.基金管理人和基金托管人对授权文件负有保密义务，其内容不得向被授权人及相关操作人员以外的任何人泄露。但法律法规规定或有权机关要求的除外。</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（二）指令的内容</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1.指令包括付款指令以及其他资金划拨指令等。</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2.基金管理人发给基金托管人的指令应写明款项事由、支付时间、到账时间、金额、账户等，加盖预留印鉴并由被授权人签字。</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（三）指令的发送、确认及执行的时间和程序</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1.指令的发送</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基金管理人发送指令应采用加密传真方式或双方协商一致的其他方式。</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指令发出后，基金管理人应及时以电话方式向基金托管人确认。</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2.指令的确认</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3.指令的时间和执行</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基金管理人应确保基金托管人在执行指令时，基金资金账户有足够的资金余额，在基金资金头寸充足的情况下，基金托管人对基金管理人符合法律法规、《基金合同》、本协议的指令不得拖延或拒绝执行。</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（四）基金管理人发送错误指令的情形和处理程序</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基金管理人发送错误指令的情形包括指令违反法律法规和《基金合同》，指令发送人员无权或超越权限发送指令。</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基金托管人在履行监督职能时，发现基金管理人的指令错误时，有权暂缓或拒绝执行，并及时通知基金管理人改正。如需撤销指令，基金管理人应出具书面说明，并加盖业务用章。</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（五）基金托管人依照法律法规暂缓、拒绝执行指令的情形和处理程序</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若基金托管人发现基金管理人的指令违反法律法规，或者违反《基金合同》约定的，应当视情况拒绝执行，并立即通知基金管理人。</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（六）基金托管人未按照基金管理人指令执行的处理方法</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基金托管人由于过错，未按照基金管理人发送的指令执行并对基金财产、投资人造成的直接损失，由基金托管人赔偿由此造成的直接损失。</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（七）更换被授权人员的程序</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收基金管理人指令的人员，应提前通过录音电话通知基金管理人。</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（八）其他事项</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托管人在接收指令时，应对指令的要素是否齐全、印鉴与被授权人签字是否与预留的授权文件内容相符进行检查，如发现问题，应及时报告基金管理人，基金托管人对执行基金管理人的合法指令对基金财产造成的损失不承担赔偿责任。</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基金参与认购未上市债券时，基金管理人应代表本基金与对手方签署相关合同或协议，明确约定债券过户具体事宜。否则，基金管理人需对所认购债券的过户事宜承担相应责任。</w:t>
      </w:r>
    </w:p>
    <w:p>
      <w:pPr>
        <w:adjustRightInd w:val="0"/>
        <w:spacing w:line="360" w:lineRule="auto"/>
        <w:contextualSpacing/>
        <w:rPr>
          <w:rFonts w:ascii="宋体" w:hAnsi="宋体" w:cs="Arial"/>
          <w:szCs w:val="21"/>
        </w:rPr>
      </w:pPr>
    </w:p>
    <w:bookmarkEnd w:id="83"/>
    <w:p>
      <w:pPr>
        <w:adjustRightInd w:val="0"/>
        <w:snapToGrid w:val="0"/>
        <w:spacing w:line="360" w:lineRule="auto"/>
        <w:ind w:firstLine="420" w:firstLineChars="200"/>
        <w:rPr>
          <w:rFonts w:ascii="宋体" w:hAnsi="宋体"/>
        </w:rPr>
        <w:sectPr>
          <w:footerReference r:id="rId12" w:type="default"/>
          <w:pgSz w:w="11906" w:h="16838"/>
          <w:pgMar w:top="1418" w:right="1701" w:bottom="1418" w:left="1701" w:header="851" w:footer="992" w:gutter="0"/>
          <w:pgNumType w:fmt="decimal"/>
          <w:cols w:space="425" w:num="1"/>
          <w:docGrid w:type="lines" w:linePitch="312" w:charSpace="0"/>
        </w:sectPr>
      </w:pPr>
    </w:p>
    <w:p>
      <w:pPr>
        <w:pStyle w:val="4"/>
        <w:spacing w:before="312" w:beforeLines="100" w:after="156" w:afterLines="50" w:line="360" w:lineRule="auto"/>
        <w:jc w:val="center"/>
        <w:rPr>
          <w:rFonts w:ascii="宋体" w:hAnsi="宋体" w:eastAsia="宋体"/>
          <w:sz w:val="21"/>
          <w:szCs w:val="21"/>
        </w:rPr>
      </w:pPr>
      <w:bookmarkStart w:id="86" w:name="_Toc110830495"/>
      <w:bookmarkStart w:id="87" w:name="_Toc86727358"/>
      <w:bookmarkStart w:id="88" w:name="_Toc86204791"/>
      <w:bookmarkStart w:id="89" w:name="_Toc84234437"/>
      <w:bookmarkStart w:id="90" w:name="_Toc110761799"/>
      <w:bookmarkStart w:id="91" w:name="_Toc86225294"/>
      <w:bookmarkStart w:id="92" w:name="_Toc118212953"/>
      <w:bookmarkStart w:id="93" w:name="_Toc86223245"/>
      <w:bookmarkStart w:id="94" w:name="_Toc89163371"/>
      <w:bookmarkStart w:id="95" w:name="_Toc84133788"/>
      <w:bookmarkStart w:id="96" w:name="_Toc86649725"/>
      <w:bookmarkStart w:id="97" w:name="_Toc119402713"/>
      <w:bookmarkStart w:id="98" w:name="_Toc118774806"/>
      <w:bookmarkStart w:id="99" w:name="_Toc84234390"/>
      <w:bookmarkStart w:id="100" w:name="_Toc118972651"/>
      <w:bookmarkStart w:id="101" w:name="_Toc86737932"/>
      <w:bookmarkStart w:id="102" w:name="_Toc108512361"/>
      <w:bookmarkStart w:id="103" w:name="_Toc348082035"/>
      <w:bookmarkStart w:id="104" w:name="_Toc110765663"/>
      <w:bookmarkStart w:id="105" w:name="_Toc86726442"/>
      <w:bookmarkStart w:id="106" w:name="_Toc120435786"/>
      <w:bookmarkStart w:id="107" w:name="CLAUSE_80922320a32749749bf2e1edd27a5917"/>
      <w:r>
        <w:t xml:space="preserve"> </w:t>
      </w:r>
      <w:bookmarkStart w:id="108" w:name="CTS_80922320a32749749bf2e1edd27a5917"/>
      <w:bookmarkEnd w:id="108"/>
      <w:bookmarkStart w:id="109" w:name="_Toc23020"/>
      <w:r>
        <w:rPr>
          <w:rFonts w:hint="eastAsia" w:ascii="宋体" w:hAnsi="宋体" w:eastAsia="宋体"/>
          <w:sz w:val="21"/>
          <w:szCs w:val="21"/>
        </w:rPr>
        <w:t>七、交易及清算交收安排</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9"/>
    </w:p>
    <w:p>
      <w:pPr>
        <w:adjustRightInd w:val="0"/>
        <w:snapToGrid w:val="0"/>
        <w:spacing w:line="360" w:lineRule="auto"/>
        <w:ind w:firstLine="420" w:firstLineChars="200"/>
        <w:rPr>
          <w:rFonts w:ascii="宋体" w:hAnsi="宋体" w:cs="Arial"/>
          <w:szCs w:val="21"/>
        </w:rPr>
      </w:pPr>
      <w:r>
        <w:rPr>
          <w:rFonts w:hint="eastAsia" w:ascii="宋体" w:hAnsi="宋体" w:cs="Arial"/>
          <w:szCs w:val="21"/>
        </w:rPr>
        <w:t>本基金参与交易所场内证券投资，采取托管人结算模式，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基金管理人、基金托管人应遵守本合同下述（一）和（二）之约定。</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（一）选择证券、期货买卖的证券、期货经营机构</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应设计选择证券、期货买卖的证券、期货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负责选择代理本基金期货交易的期货经营机构，并与其签订期货经营合同，其他事宜根据法律法规、《基金合同》的相关规定执行，若无明确规定的，可参照有关证券买卖、证券经营机构选择的规则执行。</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本基金在开始进行期货投资之前，应与基金托管人、期货公司三方一同就期货开户、清算、估值、交收等事宜另行签署《期货投资托管操作三方备忘录》。</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基金开立衍生品合约账户后，再通过该证券公司（或期货公司）参与期权交易。</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（二）基金投资证券后的清算交收安排</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 结算备付金与保证金中国证券登记结算有限责任公司分别于每月前6个交易日及每月前3个交易日内，对结算参与人最低备付金限额与结算保证金限额进行重新核算、调整。基金托管人应分别于每月前3个交易日内及结算保证金调整当日通过《资金账户报告》通知基金管理人本基金最低备付金调整金额以及调整后的结算保证金金额。</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应预留最低备付金和结算保证金，并根据中国证券登记结算有限责任公司确定的实际最低备付金、结算保证金数据为依据安排资金运作，调整所需的现金头寸。如因调整最低备付金、结算保证金后造成透支，基金管理人应视基金托管人最低结算备付金比例计收方式分别于下列时点补足透支金额：</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（1）固定备付金比例计收方式下，基金管理人应在调整最低备付金、结算保证金当日上午11：00之前补足金额。</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（2）差异化备付金比例计收方式下，基金管理人应最晚于资金交收日上午8：30前补足金额。</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2、清算交收</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如果因为基金托管人过错在清算上造成基金财产、基金管理人的直接损失，应由基金托管人负责赔偿，但因中国人民银行、中国结算和银行间市场登记结算机构资金结算系统以及其他机构的结算系统发生故障等非基金托管人的过错造成清算资金无法按时到账的情形，基金托管人免责；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处理，由此给本基金、基金托管人和基金托管人托管的其他资产造成的直接损失由基金管理人承担。</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基金管理人应采取合理、必要措施，确保T日日终有足够的资金头寸完成 T+1日中国证券登记结算有限责任公司的资金交收；如因基金管理人原因导致资金头寸不足，基金管理人应视基金托管人最低结算备付金比例计收方式分别于下列时点补足透支金额：</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（1）固定备付金比例计收方式下，基金管理人应最晚于资金交收日上午11：00前补足金额。</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（2）差异化备付金比例计收方式下，基金管理人应最晚于资金交收日上午8：30前补足金额。</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如果基金管理人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市场引起其他托管客户交易失败、赔偿因占用结算参与人最低备付金带来的利息损失。</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2.交易记录、资金和证券/期货账目核对的时间和方式</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（1）交易记录的核对</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直接损失由基金管理人承担。</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（2）资金账目的核对</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资金账目按日核实。</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（3）证券/期货账目的核对</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基金管理人和基金托管人每交易日结束后核对基金证券/期货账目，确保双方账目相符。基金管理人和基金托管人每月月末核对实物证券账目。</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（三）基金申购和赎回业务处理的基本规定</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1.基金份额申购、赎回的确认、清算由基金管理人或其委托的登记机构负责。</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3.基金管理人应保证本基金（或本基金管理人委托）的登记机构每个工作日15:00前向基金托管人发送前一开放日上述有关数据，并保证相关数据的准确、完整。</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5.如基金管理人委托其他机构办理本基金的登记业务，应保证上述相关事宜按时进行。否则，由基金管理人承担相应的责任。</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6.关于清算专用账户的设立和管理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为满足申购、赎回及分红资金汇划的需要，由基金管理人开立资金清算的专用账户，该账户由登记机构管理。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应予以必要的协助和配合。</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8.赎回和分红资金划拨规定</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拨付赎回款或进行基金分红时，如基金资金账户有足够的资金，基金托管人应按时拨付；因基金资金账户没有足够的资金，导致基金托管人不能按时拨付，基金托管人应及时通知基金管理人，如系基金管理人的原因造成，责任由基金管理人承担，基金托管人不承担垫款义务。</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9.资金指令</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除申购款项到达基金资金账户需双方按约定方式对账外，回购到期付款和与投资有关的付款、赎回和分红资金划拨时，基金管理人需向基金托管人下达指令。</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资金指令的格式、内容、发送、接收和确认方式等与投资指令相同。</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（四）申赎净额结算</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托管账户与“基金清算账户”间的资金结算遵循“全额清算、净额交收”的原则，每日按照托管账户应收资金(申购申请对应申购金额与基金转换转入申请对应金额之和)与应付资金(赎回申请对应赎回金额扣除归基金资产的费用与基金转换转出申请对应金额扣除归基金资产的费用之和)的差额来确定托管账户净应收额或净应付额，以此确定资金交收额。当存在托管账户净应收额时，基金管理人应在交收日15:00之前从基金清算账户划到基金托管账户；当存在托管账户净应付额时，基金管理人应在交收日前一工作日将划款指令发送给基金托管人，基金托管人按基金管理人的划款指令将托管账户净应付额在交收日12:00之前划往基金清算账户。</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（五）基金转换</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1.在本基金与基金管理人管理的其它基金开展转换业务之前，基金管理人应函告基金托管人并就相关事宜进行协商。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2.基金托管人将根据基金管理人传送的基金转换数据进行账务处理，具体资金清算和数据传递的时间、程序及托管协议当事人承担的权责按基金管理人届时的公告执行。</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3.本基金开展基金转换业务应按相关法律法规规定及《基金合同》的约定进行公告。</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（六）基金现金分红</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1.基金管理人确定分红方案通知基金托管人，双方核定后依照《公开募集证券投资基金信息披露管理办法》的有关规定在中国证监会规定媒介上公告。</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2.基金托管人和基金管理人对基金分红进行账务处理并核对后，基金管理人向基金托管人发送现金红利的划款指令，基金托管人应及时将资金划入专用账户。</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3.基金管理人在下达指令时，应给基金托管人留出必需的划款时间。</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（七）投资银行存款的特别约定</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1.本基金投资银行存款前，基金管理人应与存款银行签订具体存款协议，包括但不限于以下内容：</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（1）存款账户必须以本基金名义开立，并将基金托管人为本基金开立的基金银行账户指定为唯一回款账户，任何情况下，存款银行都不得将存款投资本息划往任何其他账户。</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（2）存款银行不得接受基金管理人或基金托管人任何一方单方面提出的对存款进行更名、转让、挂失、质押、担保、撤销、变更印鉴及回款账户信息等可能导致财产转移的操作申请。</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（3）约定存款证实书的具体传递交接方式及交接期限。</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（4）资金划转过程中需要使用存款银行过渡账户的，存款银行须保证资金在过渡账户中不出现滞留，不被挪用。</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基金管理人投资银行存款或办理存款支取时，应提前书面通知基金托管人，以便基金托管人有足够的时间履行相应的业务操作程序。因发生逾期支取、提前支取或部分提前支取，托管银行对此无过错的，不承担相应利息损失及逾期支取手续费。</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4.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报告中，对未按约定送达基金托管人保管的实物凭证信息进行规定范围信息披露；（3）未送达实物凭证超过送单截止日后30个工作日，且累计超过3笔（含）以上的，部分或全部暂停配合基金管理人办理后续新增存款投资业务，直至实物凭证送达基金托管人保管后解除。实物凭证未送达但存款本息已安全划回托管账户的，以及因发生特殊情况由基金管理人提供相关书面说明并重新承诺送单截止时间的，可剔除不计。</w:t>
      </w:r>
    </w:p>
    <w:p>
      <w:pPr>
        <w:spacing w:line="360" w:lineRule="auto"/>
        <w:ind w:firstLine="480"/>
        <w:rPr>
          <w:rFonts w:ascii="宋体" w:hAnsi="宋体"/>
          <w:szCs w:val="21"/>
        </w:rPr>
      </w:pPr>
    </w:p>
    <w:p>
      <w:pPr>
        <w:adjustRightInd w:val="0"/>
        <w:snapToGrid w:val="0"/>
        <w:spacing w:line="360" w:lineRule="auto"/>
        <w:rPr>
          <w:rFonts w:ascii="宋体" w:hAnsi="宋体" w:cs="Arial"/>
          <w:szCs w:val="21"/>
        </w:rPr>
      </w:pPr>
    </w:p>
    <w:bookmarkEnd w:id="107"/>
    <w:p>
      <w:pPr>
        <w:adjustRightInd w:val="0"/>
        <w:snapToGrid w:val="0"/>
        <w:spacing w:line="360" w:lineRule="auto"/>
        <w:ind w:firstLine="420" w:firstLineChars="200"/>
        <w:rPr>
          <w:rFonts w:ascii="宋体" w:hAnsi="宋体"/>
        </w:rPr>
        <w:sectPr>
          <w:footerReference r:id="rId13" w:type="default"/>
          <w:pgSz w:w="11906" w:h="16838"/>
          <w:pgMar w:top="1418" w:right="1701" w:bottom="1418" w:left="1701" w:header="851" w:footer="992" w:gutter="0"/>
          <w:pgNumType w:fmt="decimal"/>
          <w:cols w:space="425" w:num="1"/>
          <w:docGrid w:type="lines" w:linePitch="312" w:charSpace="0"/>
        </w:sectPr>
      </w:pPr>
    </w:p>
    <w:p>
      <w:pPr>
        <w:pStyle w:val="4"/>
        <w:spacing w:before="312" w:beforeLines="100" w:after="156" w:afterLines="50" w:line="360" w:lineRule="auto"/>
        <w:jc w:val="center"/>
        <w:rPr>
          <w:rFonts w:ascii="宋体" w:hAnsi="宋体" w:eastAsia="宋体"/>
          <w:sz w:val="21"/>
          <w:szCs w:val="21"/>
        </w:rPr>
      </w:pPr>
      <w:bookmarkStart w:id="110" w:name="_Toc348082036"/>
      <w:bookmarkStart w:id="111" w:name="CLAUSE_36825b5ab55646d8ac3af6db68127d17"/>
      <w:r>
        <w:t xml:space="preserve"> </w:t>
      </w:r>
      <w:bookmarkStart w:id="112" w:name="CTS_36825b5ab55646d8ac3af6db68127d17"/>
      <w:bookmarkEnd w:id="112"/>
      <w:bookmarkStart w:id="113" w:name="_Toc18206"/>
      <w:r>
        <w:rPr>
          <w:rFonts w:hint="eastAsia" w:ascii="宋体" w:hAnsi="宋体" w:eastAsia="宋体"/>
          <w:sz w:val="21"/>
          <w:szCs w:val="21"/>
        </w:rPr>
        <w:t>八、基金资产净值计算和会计核算</w:t>
      </w:r>
      <w:bookmarkEnd w:id="110"/>
      <w:bookmarkEnd w:id="113"/>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（一）基金资产净值的计算、复核与完成的时间及程序</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资产净值是指基金资产总值减去基金负债后的价值。各类基金份额净值是按照每个工作日闭市后，该类基金资产净值除以当日该类基金份额的余额数量计算，均精确到0.0001元，小数点后第5位四舍五入，由此产生的误差计入基金财产。基金管理人可以设立大额赎回情形下的净值精度应急调整机制。国家另有规定的，从其规定。</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基金管理人于每个工作日计算基金资产净值及各类基金份额净值，经基金托管人复核，并按规定公告。</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按约定对外公布。</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（二）基金资产估值方法和特殊情形的处理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1.估值对象</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基金所拥有的目标ETF基金份额、股票（含存托凭证）、债券、资产支持证券、国债期货合约、股指期货合约、股票期权合约和银行存款本息、应收款项、其它投资等资产及负债。</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2.估值方法</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（1）本基金持有的目标ETF基金份额以其当日基金份额净值估值，当日无基金份额净值的，以最近工作日的基金份额净值估值。</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交易所上市或挂牌转让的有价证券（包括股票等，基金合同另有约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（3）对于已上市或已挂牌转让的不含权固定收益品种，选取估值日第三方估值基准服务机构提供的相应品种当日的估值全价进行估值。</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（4）对于已上市或已挂牌转让的含权固定收益品种，选取估值日第三方估值基准服务机构提供的相应品种当日的唯一估值全价或推荐估值全价进行估值。</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对于含投资者回售权的固定收益品种，行使回售权的，在回售登记日至实际收款日期间选取第三方估值基准服务机构提供的相应品种的唯一估值全价或推荐估值全价。回售登记期截止日（含当日）后未行使回售权的，按照长待偿期所对应的价格进行估值。</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（6）对于未上市或未挂牌转让且不存在活跃市场的固定收益品种，应采用在当前情况下适用并且有足够可利用数据和其他信息支持的估值技术确定其公允价值。</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（7）处于未上市期间的股票应区分如下情况处理：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1）送股、转增股、配股和公开增发的新股，按估值日在证券交易所挂牌的同一股票的估值方法估值；该日无交易的，以最近一日的市价（收盘价）估值；</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2）首次公开发行未上市的股票，采用估值技术确定公允价值。</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8、同一证券同时在两个或两个以上市场交易的，按证券所处的市场分别估值。</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9、本基金参与股指期货合约、国债期货合约交易，一般以估值当日结算价进行估值，估值当日无结算价的，且最近交易日后经济环境未发生重大变化的，采用最近交易日结算价估值。</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10、本基金投资股票期权，根据相关法律法规以及监管部门的规定估值。</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11、本基金参与融资及转融通证券出借业务的，应参照行业协会的相关规定进行估值，确保估值的公允性。</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12、本基金投资存托凭证的估值核算，依照境内上市交易的股票执行。</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13、当发生大额申购或赎回情形时，基金管理人可以采用摆动定价机制，以确保基金估值的公平性。具体处理原则与操作规范遵循相关法律法规以及监管部门、自律规则的规定。</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14、如有确凿证据表明按上述方法进行估值不能客观反映其公允价值的，基金管理人可根据具体情况与基金托管人商定后，按最能反映公允价值的价格估值。</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15、相关法律法规以及监管部门有强制规定的，从其规定。如有新增事项，按国家最新规定估值。</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如基金管理人或基金托管人发现基金估值违反基金合同订明的估值方法、程序及相关法律法规的规定或者未能充分维护基金份额持有人利益时，应立即通知对方，共同查明原因，双方协商解决。</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的计算结果对外予以公布。</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3.特殊情形的处理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基金管理人或基金托管人按估值方法的第（14）项进行估值时，所造成的误差不作为基金资产估值错误处理。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由于不可抗力原因，或由于证券、期货交易所、指数编制机构及登记结算公司等机构发送的数据错误等非基金管理人与基金托管人原因，基金管理人和基金托管人虽然已经采取必要、适当、合理的措施进行检查，但未能发现错误的，由此造成的基金财产估值错误，基金管理人和基金托管人免除赔偿责任。但基金管理人、基金托管人应当积极采取必要的措施消除或减轻由此造成的影响。</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（三）基金份额净值估值错误的处理方式</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1.基金份额净值计算出现错误时，基金管理人应当立即予以纠正，通报基金托管人，并采取合理的措施防止损失进一步扩大。</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错误偏差达到该类基金份额净值的0.25%时，基金管理人应当通报基金托管人并报中国证监会备案；错误偏差达到该类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3.当基金份额净值计算差错给基金和基金份额持有人造成损失需要进行赔偿时，基金管理人和基金托管人应根据实际情况界定双方承担的责任，经确认后按以下条款进行赔偿：</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②若基金管理人计算的各类基金份额净值已由基金托管人复核确认后公告，而且基金托管人未对计算过程提出疑义或要求基金管理人书面说明，基金份额净值出错且给基金份额持有人造成损失的，应根据法律法规的规定对投资者或基金支付赔偿金，就实际向投资者或基金支付的赔偿金额，基金管理人与基金托管人按照管理费和托管费的比例各自承担相应的责任。</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③如基金管理人和基金托管人对各类基金份额净值的计算结果，虽然多次重新计算和核对，尚不能达成一致时，为避免不能按时公布各类基金份额净值的情形，以基金管理人的计算结果对外公布，由此给基金份额持有人和基金造成的损失，由基金管理人负责赔付。</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④由于基金管理人提供的信息错误（包括但不限于基金申购或赎回金额等），进而导致基金份额净值计算错误而引起的基金份额持有人和基金财产的损失，由基金管理人负责赔付。</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4.前述内容如法律法规或监管机关另有规定的，从其规定处理。如果行业另有通行做法，基金管理人和基金托管人应本着平等和保护基金份额持有人利益的原则进行协商。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（四）暂停估值与公告基金份额净值的情形</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1、基金投资所涉及的证券、期货交易所遇法定节假日或因其他原因暂停营业时；</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2、因不可抗力或者其他情形致使基金管理人、基金托管人无法准确评估基金资产价值时；</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3、所投资的目标ETF暂停估值、暂停公告基金份额净值时；</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4、当特定资产占前一估值日基金资产净值50%以上的，经与基金托管人协商确认后，基金管理人应当暂停估值；</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5、中国证监会和基金合同认定的其他情形。</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（五）基金会计制度</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按国家有关部门规定的会计制度执行。</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（六）基金账册的建立</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（七）基金财务报表与报告的编制和复核</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1.财务报表的编制</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基金财务报表由基金管理人编制，基金托管人复核。</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2.报表复核</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基金托管人在收到基金管理人编制的基金财务报表后，进行独立的复核。核对不符时，应及时通知基金管理人共同查出原因，进行调整，直至双方数据完全一致。</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3.财务报表的编制与复核时间安排</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(1)报表的编制</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符合《中华人民共和国证券法》规定的会计师事务所审计。《基金合同》生效不足两个月的，基金管理人可以不编制当期季度报告、中期报告或者年度报告。</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(2)报表的复核</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基金管理人应留足充分的时间，便于基金托管人复核相关报表及报告。</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（八）基金管理人应在编制季度报告、中期报告或者年度报告之前及时向基金托管人提供基金业绩比较基准的基础数据和编制结果。</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（九）实施侧袋机制期间的基金资产估值</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本基金实施侧袋机制的，应根据本部分的约定对主袋账户资产进行估值并披露主袋账户的基金净值信息，暂停披露侧袋账户份额净值。</w:t>
      </w:r>
    </w:p>
    <w:p>
      <w:pPr>
        <w:pStyle w:val="5"/>
        <w:adjustRightInd w:val="0"/>
        <w:snapToGrid w:val="0"/>
        <w:spacing w:line="360" w:lineRule="auto"/>
        <w:ind w:firstLine="0" w:firstLineChars="0"/>
        <w:rPr>
          <w:rFonts w:ascii="宋体" w:hAnsi="宋体" w:cs="Arial"/>
          <w:szCs w:val="21"/>
        </w:rPr>
      </w:pPr>
    </w:p>
    <w:bookmarkEnd w:id="111"/>
    <w:p>
      <w:pPr>
        <w:adjustRightInd w:val="0"/>
        <w:snapToGrid w:val="0"/>
        <w:spacing w:line="360" w:lineRule="auto"/>
        <w:ind w:firstLine="420" w:firstLineChars="200"/>
        <w:rPr>
          <w:rFonts w:ascii="宋体" w:hAnsi="宋体"/>
        </w:rPr>
        <w:sectPr>
          <w:footerReference r:id="rId14" w:type="default"/>
          <w:pgSz w:w="11906" w:h="16838"/>
          <w:pgMar w:top="1418" w:right="1701" w:bottom="1418" w:left="1701" w:header="851" w:footer="992" w:gutter="0"/>
          <w:pgNumType w:fmt="decimal"/>
          <w:cols w:space="425" w:num="1"/>
          <w:docGrid w:type="lines" w:linePitch="312" w:charSpace="0"/>
        </w:sectPr>
      </w:pPr>
    </w:p>
    <w:p>
      <w:pPr>
        <w:pStyle w:val="4"/>
        <w:spacing w:before="312" w:beforeLines="100" w:after="156" w:afterLines="50" w:line="360" w:lineRule="auto"/>
        <w:jc w:val="center"/>
        <w:rPr>
          <w:rFonts w:ascii="宋体" w:hAnsi="宋体" w:eastAsia="宋体"/>
          <w:sz w:val="21"/>
          <w:szCs w:val="21"/>
        </w:rPr>
      </w:pPr>
      <w:bookmarkStart w:id="114" w:name="_Toc348082037"/>
      <w:bookmarkStart w:id="115" w:name="CLAUSE_84c998f8bffa43f79bedf6020215de7f"/>
      <w:r>
        <w:t xml:space="preserve"> </w:t>
      </w:r>
      <w:bookmarkStart w:id="116" w:name="CTS_84c998f8bffa43f79bedf6020215de7f"/>
      <w:bookmarkEnd w:id="116"/>
      <w:bookmarkStart w:id="117" w:name="_Toc9771"/>
      <w:r>
        <w:rPr>
          <w:rFonts w:hint="eastAsia" w:ascii="宋体" w:hAnsi="宋体" w:eastAsia="宋体"/>
          <w:sz w:val="21"/>
          <w:szCs w:val="21"/>
        </w:rPr>
        <w:t>九、基金收益分配</w:t>
      </w:r>
      <w:bookmarkEnd w:id="114"/>
      <w:bookmarkEnd w:id="117"/>
    </w:p>
    <w:p>
      <w:pPr>
        <w:adjustRightInd w:val="0"/>
        <w:snapToGrid w:val="0"/>
        <w:spacing w:line="360" w:lineRule="auto"/>
        <w:ind w:firstLine="420" w:firstLineChars="200"/>
        <w:rPr>
          <w:szCs w:val="21"/>
        </w:rPr>
      </w:pPr>
      <w:r>
        <w:rPr>
          <w:rFonts w:hint="eastAsia"/>
          <w:szCs w:val="21"/>
        </w:rPr>
        <w:t>基金收益分配是指按规定将基金的可分配收益按基金份额进行比例分配。</w:t>
      </w:r>
    </w:p>
    <w:p>
      <w:pPr>
        <w:adjustRightInd w:val="0"/>
        <w:snapToGrid w:val="0"/>
        <w:spacing w:line="360" w:lineRule="auto"/>
        <w:ind w:firstLine="420" w:firstLineChars="200"/>
        <w:rPr>
          <w:szCs w:val="21"/>
        </w:rPr>
      </w:pPr>
      <w:r>
        <w:rPr>
          <w:rFonts w:hint="eastAsia"/>
          <w:szCs w:val="21"/>
        </w:rPr>
        <w:t>（一）基金收益分配的原则</w:t>
      </w:r>
    </w:p>
    <w:p>
      <w:pPr>
        <w:adjustRightInd w:val="0"/>
        <w:snapToGrid w:val="0"/>
        <w:spacing w:line="360" w:lineRule="auto"/>
        <w:ind w:firstLine="420" w:firstLineChars="200"/>
        <w:rPr>
          <w:szCs w:val="21"/>
        </w:rPr>
      </w:pPr>
      <w:r>
        <w:rPr>
          <w:rFonts w:hint="eastAsia"/>
          <w:szCs w:val="21"/>
        </w:rPr>
        <w:t>1、本基金收益分配方式分两种：现金分红与红利再投资，投资者可选择现金红利或将现金红利自动转为相应类别的基金份额进行再投资，且基金份额持有人可对A类、C类基金份额分别选择不同的分红方式；若投资者不选择，本基金默认的收益分配方式是现金分红；</w:t>
      </w:r>
    </w:p>
    <w:p>
      <w:pPr>
        <w:adjustRightInd w:val="0"/>
        <w:snapToGrid w:val="0"/>
        <w:spacing w:line="360" w:lineRule="auto"/>
        <w:ind w:firstLine="420" w:firstLineChars="200"/>
        <w:rPr>
          <w:szCs w:val="21"/>
        </w:rPr>
      </w:pPr>
      <w:r>
        <w:rPr>
          <w:rFonts w:hint="eastAsia"/>
          <w:szCs w:val="21"/>
        </w:rPr>
        <w:t>2、基金收益分配后各类基金份额净值不能低于面值，即基金收益分配基准日的各类基金份额净值减去每单位该类基金份额收益分配金额后不能低于面值；</w:t>
      </w:r>
    </w:p>
    <w:p>
      <w:pPr>
        <w:adjustRightInd w:val="0"/>
        <w:snapToGrid w:val="0"/>
        <w:spacing w:line="360" w:lineRule="auto"/>
        <w:ind w:firstLine="420" w:firstLineChars="200"/>
        <w:rPr>
          <w:szCs w:val="21"/>
        </w:rPr>
      </w:pPr>
      <w:r>
        <w:rPr>
          <w:rFonts w:hint="eastAsia"/>
          <w:szCs w:val="21"/>
        </w:rPr>
        <w:t>3、由于本基金A类基金份额不收取销售服务费，C类基金份额收取销售服务费，各基金份额类别对应的可分配收益将有所不同。本基金同一类别每一基金份额享有同等分配权；</w:t>
      </w:r>
    </w:p>
    <w:p>
      <w:pPr>
        <w:adjustRightInd w:val="0"/>
        <w:snapToGrid w:val="0"/>
        <w:spacing w:line="360" w:lineRule="auto"/>
        <w:ind w:firstLine="420" w:firstLineChars="200"/>
        <w:rPr>
          <w:szCs w:val="21"/>
        </w:rPr>
      </w:pPr>
      <w:r>
        <w:rPr>
          <w:rFonts w:hint="eastAsia"/>
          <w:szCs w:val="21"/>
        </w:rPr>
        <w:t>4、法律法规或监管机关另有规定的，从其规定。</w:t>
      </w:r>
    </w:p>
    <w:p>
      <w:pPr>
        <w:adjustRightInd w:val="0"/>
        <w:snapToGrid w:val="0"/>
        <w:spacing w:line="360" w:lineRule="auto"/>
        <w:ind w:firstLine="420" w:firstLineChars="200"/>
        <w:rPr>
          <w:szCs w:val="21"/>
        </w:rPr>
      </w:pPr>
      <w:r>
        <w:rPr>
          <w:rFonts w:hint="eastAsia"/>
          <w:szCs w:val="21"/>
        </w:rPr>
        <w:t>在不违反法律法规且对基金份额持有人利益无实质性不利影响的前提下，基金管理人</w:t>
      </w:r>
      <w:r>
        <w:rPr>
          <w:rFonts w:hint="eastAsia"/>
          <w:highlight w:val="none"/>
        </w:rPr>
        <w:t>经与基金托管人协商一致后</w:t>
      </w:r>
      <w:r>
        <w:rPr>
          <w:rFonts w:hint="eastAsia"/>
          <w:highlight w:val="none"/>
          <w:lang w:eastAsia="zh-CN"/>
        </w:rPr>
        <w:t>，</w:t>
      </w:r>
      <w:r>
        <w:rPr>
          <w:rFonts w:hint="eastAsia"/>
          <w:szCs w:val="21"/>
        </w:rPr>
        <w:t>可对基金收益分配的有关业务规则进行调整，并及时公告，此项调整不需要召开基金份额持有人大会。</w:t>
      </w:r>
    </w:p>
    <w:p>
      <w:pPr>
        <w:adjustRightInd w:val="0"/>
        <w:snapToGrid w:val="0"/>
        <w:spacing w:line="360" w:lineRule="auto"/>
        <w:ind w:firstLine="420" w:firstLineChars="200"/>
        <w:rPr>
          <w:szCs w:val="21"/>
        </w:rPr>
      </w:pPr>
      <w:r>
        <w:rPr>
          <w:rFonts w:hint="eastAsia"/>
          <w:szCs w:val="21"/>
        </w:rPr>
        <w:t>（二）基金收益分配的时间和程序</w:t>
      </w:r>
    </w:p>
    <w:p>
      <w:pPr>
        <w:adjustRightInd w:val="0"/>
        <w:snapToGrid w:val="0"/>
        <w:spacing w:line="360" w:lineRule="auto"/>
        <w:ind w:firstLine="420" w:firstLineChars="200"/>
        <w:rPr>
          <w:szCs w:val="21"/>
        </w:rPr>
      </w:pPr>
      <w:r>
        <w:rPr>
          <w:rFonts w:hint="eastAsia"/>
          <w:szCs w:val="21"/>
        </w:rPr>
        <w:t>本基金收益分配方案由基金管理人拟定，并由基金托管人复核，依照《信息披露办法》的有关规定在规定媒介公告。基金收益分配方案公告后(依据具体方案的规定)，基金管理人就支付的现金红利向基金托管人发送划款指令，基金托管人按照基金管理人的指令及时进行分红资金的划付。</w:t>
      </w:r>
    </w:p>
    <w:p>
      <w:pPr>
        <w:adjustRightInd w:val="0"/>
        <w:snapToGrid w:val="0"/>
        <w:spacing w:line="360" w:lineRule="auto"/>
        <w:ind w:firstLine="420" w:firstLineChars="200"/>
        <w:rPr>
          <w:szCs w:val="21"/>
        </w:rPr>
      </w:pPr>
      <w:r>
        <w:rPr>
          <w:rFonts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pPr>
        <w:adjustRightInd w:val="0"/>
        <w:snapToGrid w:val="0"/>
        <w:spacing w:line="360" w:lineRule="auto"/>
        <w:ind w:firstLine="420" w:firstLineChars="200"/>
        <w:rPr>
          <w:szCs w:val="21"/>
        </w:rPr>
      </w:pPr>
      <w:r>
        <w:rPr>
          <w:rFonts w:hint="eastAsia"/>
          <w:szCs w:val="21"/>
        </w:rPr>
        <w:t>（三）实施侧袋机制期间的收益分配</w:t>
      </w:r>
    </w:p>
    <w:p>
      <w:pPr>
        <w:adjustRightInd w:val="0"/>
        <w:snapToGrid w:val="0"/>
        <w:spacing w:line="360" w:lineRule="auto"/>
        <w:ind w:firstLine="420" w:firstLineChars="200"/>
        <w:rPr>
          <w:rFonts w:ascii="宋体" w:hAnsi="宋体" w:cs="Arial"/>
          <w:szCs w:val="21"/>
        </w:rPr>
      </w:pPr>
      <w:r>
        <w:rPr>
          <w:rFonts w:hint="eastAsia"/>
          <w:szCs w:val="21"/>
        </w:rPr>
        <w:t>本基金实施侧袋机制的，侧袋账户不进行收益分配，详见招募说明书的规定。</w:t>
      </w:r>
    </w:p>
    <w:p>
      <w:pPr>
        <w:adjustRightInd w:val="0"/>
        <w:snapToGrid w:val="0"/>
        <w:spacing w:line="360" w:lineRule="auto"/>
        <w:rPr>
          <w:rFonts w:ascii="宋体" w:hAnsi="宋体" w:cs="Arial"/>
          <w:szCs w:val="21"/>
        </w:rPr>
      </w:pPr>
    </w:p>
    <w:bookmarkEnd w:id="115"/>
    <w:p>
      <w:pPr>
        <w:adjustRightInd w:val="0"/>
        <w:snapToGrid w:val="0"/>
        <w:spacing w:line="360" w:lineRule="auto"/>
        <w:ind w:firstLine="420" w:firstLineChars="200"/>
        <w:sectPr>
          <w:footerReference r:id="rId15" w:type="default"/>
          <w:pgSz w:w="11906" w:h="16838"/>
          <w:pgMar w:top="1418" w:right="1701" w:bottom="1418" w:left="1701" w:header="851" w:footer="992" w:gutter="0"/>
          <w:pgNumType w:fmt="decimal"/>
          <w:cols w:space="425" w:num="1"/>
          <w:docGrid w:type="lines" w:linePitch="312" w:charSpace="0"/>
        </w:sectPr>
      </w:pPr>
    </w:p>
    <w:p>
      <w:pPr>
        <w:pStyle w:val="4"/>
        <w:spacing w:before="312" w:beforeLines="100" w:after="156" w:afterLines="50" w:line="360" w:lineRule="auto"/>
        <w:jc w:val="center"/>
        <w:rPr>
          <w:rFonts w:ascii="宋体" w:hAnsi="宋体" w:eastAsia="宋体"/>
          <w:sz w:val="21"/>
          <w:szCs w:val="21"/>
        </w:rPr>
      </w:pPr>
      <w:bookmarkStart w:id="118" w:name="_Toc348082038"/>
      <w:bookmarkStart w:id="119" w:name="CLAUSE_a1a6690298964b0a9054a7baeadf6b90"/>
      <w:r>
        <w:t xml:space="preserve"> </w:t>
      </w:r>
      <w:bookmarkStart w:id="120" w:name="CTS_a1a6690298964b0a9054a7baeadf6b90"/>
      <w:bookmarkEnd w:id="120"/>
      <w:bookmarkStart w:id="121" w:name="_Toc4808"/>
      <w:r>
        <w:rPr>
          <w:rFonts w:hint="eastAsia" w:ascii="宋体" w:hAnsi="宋体" w:eastAsia="宋体"/>
          <w:sz w:val="21"/>
          <w:szCs w:val="21"/>
        </w:rPr>
        <w:t>十、基金信息披露</w:t>
      </w:r>
      <w:bookmarkEnd w:id="118"/>
      <w:bookmarkEnd w:id="121"/>
    </w:p>
    <w:p>
      <w:pPr>
        <w:pStyle w:val="5"/>
        <w:adjustRightInd w:val="0"/>
        <w:snapToGrid w:val="0"/>
        <w:spacing w:line="360" w:lineRule="auto"/>
        <w:rPr>
          <w:rFonts w:ascii="宋体" w:hAnsi="宋体" w:cs="Arial"/>
          <w:szCs w:val="21"/>
        </w:rPr>
      </w:pPr>
      <w:r>
        <w:rPr>
          <w:rFonts w:hint="eastAsia" w:ascii="宋体" w:hAnsi="宋体" w:cs="Arial"/>
          <w:szCs w:val="21"/>
        </w:rPr>
        <w:t>（一）保密义务</w:t>
      </w:r>
    </w:p>
    <w:p>
      <w:pPr>
        <w:pStyle w:val="5"/>
        <w:adjustRightInd w:val="0"/>
        <w:snapToGrid w:val="0"/>
        <w:spacing w:line="360" w:lineRule="auto"/>
        <w:rPr>
          <w:rFonts w:ascii="宋体" w:hAnsi="宋体" w:cs="Arial"/>
          <w:szCs w:val="21"/>
        </w:rPr>
      </w:pPr>
      <w:r>
        <w:rPr>
          <w:rFonts w:hint="eastAsia" w:ascii="宋体" w:hAnsi="宋体" w:cs="Arial"/>
          <w:szCs w:val="21"/>
        </w:rPr>
        <w:t>基金托管人和基金管理人应按法律法规、《基金合同》的有关规定进行信息披露，拟公开披露的信息在公开披露之前应予保密。除按《基金法》、《基金合同》、《公开募集证券投资基金信息披露管理办法》、《公开募集开放式证券投资基金流动性风险管理规定》及其他有关规定进行信息披露外，基金管理人和基金托管人对基金运作中产生的信息以及从对方获得的业务信息应予保密。但是，如下情况不应视为基金管理人或基金托管人违反保密义务：</w:t>
      </w:r>
    </w:p>
    <w:p>
      <w:pPr>
        <w:pStyle w:val="5"/>
        <w:adjustRightInd w:val="0"/>
        <w:snapToGrid w:val="0"/>
        <w:spacing w:line="360" w:lineRule="auto"/>
        <w:rPr>
          <w:rFonts w:ascii="宋体" w:hAnsi="宋体" w:cs="Arial"/>
          <w:szCs w:val="21"/>
        </w:rPr>
      </w:pPr>
      <w:r>
        <w:rPr>
          <w:rFonts w:hint="eastAsia" w:ascii="宋体" w:hAnsi="宋体" w:cs="Arial"/>
          <w:szCs w:val="21"/>
        </w:rPr>
        <w:t>1.非因基金管理人和基金托管人的原因导致保密信息被披露、泄露或公开；</w:t>
      </w:r>
    </w:p>
    <w:p>
      <w:pPr>
        <w:pStyle w:val="5"/>
        <w:adjustRightInd w:val="0"/>
        <w:snapToGrid w:val="0"/>
        <w:spacing w:line="360" w:lineRule="auto"/>
        <w:rPr>
          <w:rFonts w:ascii="宋体" w:hAnsi="宋体" w:cs="Arial"/>
          <w:szCs w:val="21"/>
        </w:rPr>
      </w:pPr>
      <w:r>
        <w:rPr>
          <w:rFonts w:hint="eastAsia" w:ascii="宋体" w:hAnsi="宋体" w:cs="Arial"/>
          <w:szCs w:val="21"/>
        </w:rPr>
        <w:t>2.基金管理人和基金托管人为遵守和服从法院判决或裁定、仲裁裁决或中国证监会等监管机构的命令、决定所做出的信息披露或公开。</w:t>
      </w:r>
    </w:p>
    <w:p>
      <w:pPr>
        <w:pStyle w:val="5"/>
        <w:adjustRightInd w:val="0"/>
        <w:snapToGrid w:val="0"/>
        <w:spacing w:line="360" w:lineRule="auto"/>
        <w:rPr>
          <w:rFonts w:ascii="宋体" w:hAnsi="宋体" w:cs="Arial"/>
          <w:szCs w:val="21"/>
        </w:rPr>
      </w:pPr>
      <w:r>
        <w:rPr>
          <w:rFonts w:hint="eastAsia" w:ascii="宋体" w:hAnsi="宋体" w:cs="Arial"/>
          <w:szCs w:val="21"/>
        </w:rPr>
        <w:t>（二）信息披露的内容</w:t>
      </w:r>
    </w:p>
    <w:p>
      <w:pPr>
        <w:pStyle w:val="5"/>
        <w:adjustRightInd w:val="0"/>
        <w:snapToGrid w:val="0"/>
        <w:spacing w:line="360" w:lineRule="auto"/>
        <w:rPr>
          <w:rFonts w:ascii="宋体" w:hAnsi="宋体" w:cs="Arial"/>
          <w:szCs w:val="21"/>
        </w:rPr>
      </w:pPr>
      <w:r>
        <w:rPr>
          <w:rFonts w:hint="eastAsia" w:ascii="宋体" w:hAnsi="宋体" w:cs="Arial"/>
          <w:szCs w:val="21"/>
        </w:rPr>
        <w:t>基金的信息披露内容主要包括基金招募说明书、《基金合同》、托管协议、基金产品资料概要、基金份额发售公告、《基金合同》生效公告、基金净值信息、基金份额申购、赎回价格、基金定期报告（包括基金年度报告、基金中期报告和基金季度报告）、临时报告、澄清公告、基金份额持有人大会决议、清算报告、投资资产支持证券、投资股指期货、投资国债期货、投资股票期权、目标ETF的信息披露、参与融资与转融通证券出借业务的信息披露、实施侧袋机制期间的信息披露、中国证监会规定的其他信息。基金年度报告中的财务会计报告需经符合《中华人民共和国证券法》规定的会计师事务所审计后，方可披露。</w:t>
      </w:r>
    </w:p>
    <w:p>
      <w:pPr>
        <w:pStyle w:val="5"/>
        <w:adjustRightInd w:val="0"/>
        <w:snapToGrid w:val="0"/>
        <w:spacing w:line="360" w:lineRule="auto"/>
        <w:rPr>
          <w:rFonts w:ascii="宋体" w:hAnsi="宋体" w:cs="Arial"/>
          <w:szCs w:val="21"/>
        </w:rPr>
      </w:pPr>
      <w:r>
        <w:rPr>
          <w:rFonts w:hint="eastAsia" w:ascii="宋体" w:hAnsi="宋体" w:cs="Arial"/>
          <w:szCs w:val="21"/>
        </w:rPr>
        <w:t>（三）基金托管人和基金管理人在信息披露中的职责和信息披露程序</w:t>
      </w:r>
    </w:p>
    <w:p>
      <w:pPr>
        <w:pStyle w:val="5"/>
        <w:adjustRightInd w:val="0"/>
        <w:snapToGrid w:val="0"/>
        <w:spacing w:line="360" w:lineRule="auto"/>
        <w:rPr>
          <w:rFonts w:ascii="宋体" w:hAnsi="宋体" w:cs="Arial"/>
          <w:szCs w:val="21"/>
        </w:rPr>
      </w:pPr>
      <w:r>
        <w:rPr>
          <w:rFonts w:hint="eastAsia" w:ascii="宋体" w:hAnsi="宋体" w:cs="Arial"/>
          <w:szCs w:val="21"/>
        </w:rPr>
        <w:t>1.职责</w:t>
      </w:r>
    </w:p>
    <w:p>
      <w:pPr>
        <w:pStyle w:val="5"/>
        <w:adjustRightInd w:val="0"/>
        <w:snapToGrid w:val="0"/>
        <w:spacing w:line="360" w:lineRule="auto"/>
        <w:rPr>
          <w:rFonts w:ascii="宋体" w:hAnsi="宋体" w:cs="Arial"/>
          <w:szCs w:val="21"/>
        </w:rPr>
      </w:pPr>
      <w:r>
        <w:rPr>
          <w:rFonts w:hint="eastAsia" w:ascii="宋体" w:hAnsi="宋体" w:cs="Arial"/>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pPr>
        <w:pStyle w:val="5"/>
        <w:adjustRightInd w:val="0"/>
        <w:snapToGrid w:val="0"/>
        <w:spacing w:line="360" w:lineRule="auto"/>
        <w:rPr>
          <w:rFonts w:ascii="宋体" w:hAnsi="宋体" w:cs="Arial"/>
          <w:szCs w:val="21"/>
        </w:rPr>
      </w:pPr>
      <w:r>
        <w:rPr>
          <w:rFonts w:hint="eastAsia" w:ascii="宋体" w:hAnsi="宋体" w:cs="Arial"/>
          <w:szCs w:val="21"/>
        </w:rPr>
        <w:t>对于不需要基金托管人复核的信息，基金管理人在公告前应告知基金托管人。</w:t>
      </w:r>
    </w:p>
    <w:p>
      <w:pPr>
        <w:pStyle w:val="5"/>
        <w:adjustRightInd w:val="0"/>
        <w:snapToGrid w:val="0"/>
        <w:spacing w:line="360" w:lineRule="auto"/>
        <w:rPr>
          <w:rFonts w:ascii="宋体" w:hAnsi="宋体" w:cs="Arial"/>
          <w:szCs w:val="21"/>
        </w:rPr>
      </w:pPr>
      <w:r>
        <w:rPr>
          <w:rFonts w:hint="eastAsia" w:ascii="宋体" w:hAnsi="宋体" w:cs="Arial"/>
          <w:szCs w:val="21"/>
        </w:rPr>
        <w:t>基金管理人和基金托管人应积极配合、互相监督，保证其履行按照法定方式和限时披露的义务。</w:t>
      </w:r>
    </w:p>
    <w:p>
      <w:pPr>
        <w:pStyle w:val="5"/>
        <w:adjustRightInd w:val="0"/>
        <w:snapToGrid w:val="0"/>
        <w:spacing w:line="360" w:lineRule="auto"/>
        <w:rPr>
          <w:rFonts w:ascii="宋体" w:hAnsi="宋体" w:cs="Arial"/>
          <w:szCs w:val="21"/>
        </w:rPr>
      </w:pPr>
      <w:r>
        <w:rPr>
          <w:rFonts w:hint="eastAsia" w:ascii="宋体" w:hAnsi="宋体" w:cs="Arial"/>
          <w:szCs w:val="21"/>
        </w:rPr>
        <w:t>基金管理人应当在中国证监会规定的时间内，将应予披露的基金信息通过规定媒介披露。根据法律法规应由基金托管人公开披露的信息，基金托管人将通过规定媒介公开披露。</w:t>
      </w:r>
    </w:p>
    <w:p>
      <w:pPr>
        <w:pStyle w:val="5"/>
        <w:adjustRightInd w:val="0"/>
        <w:snapToGrid w:val="0"/>
        <w:spacing w:line="360" w:lineRule="auto"/>
        <w:rPr>
          <w:rFonts w:ascii="宋体" w:hAnsi="宋体" w:cs="Arial"/>
          <w:szCs w:val="21"/>
        </w:rPr>
      </w:pPr>
      <w:r>
        <w:rPr>
          <w:rFonts w:hint="eastAsia" w:ascii="宋体" w:hAnsi="宋体" w:cs="Arial"/>
          <w:szCs w:val="21"/>
        </w:rPr>
        <w:t>当出现下述情况时，基金管理人和基金托管人可暂停或延迟披露基金相关信息：</w:t>
      </w:r>
    </w:p>
    <w:p>
      <w:pPr>
        <w:pStyle w:val="5"/>
        <w:adjustRightInd w:val="0"/>
        <w:snapToGrid w:val="0"/>
        <w:spacing w:line="360" w:lineRule="auto"/>
        <w:rPr>
          <w:rFonts w:ascii="宋体" w:hAnsi="宋体" w:cs="Arial"/>
          <w:szCs w:val="21"/>
        </w:rPr>
      </w:pPr>
      <w:r>
        <w:rPr>
          <w:rFonts w:hint="eastAsia" w:ascii="宋体" w:hAnsi="宋体" w:cs="Arial"/>
          <w:szCs w:val="21"/>
        </w:rPr>
        <w:t>（1）不可抗力；</w:t>
      </w:r>
    </w:p>
    <w:p>
      <w:pPr>
        <w:pStyle w:val="5"/>
        <w:adjustRightInd w:val="0"/>
        <w:snapToGrid w:val="0"/>
        <w:spacing w:line="360" w:lineRule="auto"/>
        <w:rPr>
          <w:rFonts w:ascii="宋体" w:hAnsi="宋体" w:cs="Arial"/>
          <w:szCs w:val="21"/>
        </w:rPr>
      </w:pPr>
      <w:r>
        <w:rPr>
          <w:rFonts w:hint="eastAsia" w:ascii="宋体" w:hAnsi="宋体" w:cs="Arial"/>
          <w:szCs w:val="21"/>
        </w:rPr>
        <w:t>（2）发生基金合同约定的暂停估值的情形；</w:t>
      </w:r>
    </w:p>
    <w:p>
      <w:pPr>
        <w:pStyle w:val="5"/>
        <w:adjustRightInd w:val="0"/>
        <w:snapToGrid w:val="0"/>
        <w:spacing w:line="360" w:lineRule="auto"/>
        <w:rPr>
          <w:rFonts w:ascii="宋体" w:hAnsi="宋体" w:cs="Arial"/>
          <w:szCs w:val="21"/>
        </w:rPr>
      </w:pPr>
      <w:r>
        <w:rPr>
          <w:rFonts w:hint="eastAsia" w:ascii="宋体" w:hAnsi="宋体" w:cs="Arial"/>
          <w:szCs w:val="21"/>
        </w:rPr>
        <w:t>（3）法律法规、《基金合同》或中国证监会规定的情况。</w:t>
      </w:r>
    </w:p>
    <w:p>
      <w:pPr>
        <w:pStyle w:val="5"/>
        <w:adjustRightInd w:val="0"/>
        <w:snapToGrid w:val="0"/>
        <w:spacing w:line="360" w:lineRule="auto"/>
        <w:rPr>
          <w:rFonts w:ascii="宋体" w:hAnsi="宋体" w:cs="Arial"/>
          <w:szCs w:val="21"/>
        </w:rPr>
      </w:pPr>
      <w:r>
        <w:rPr>
          <w:rFonts w:hint="eastAsia" w:ascii="宋体" w:hAnsi="宋体" w:cs="Arial"/>
          <w:szCs w:val="21"/>
        </w:rPr>
        <w:t>2.程序</w:t>
      </w:r>
    </w:p>
    <w:p>
      <w:pPr>
        <w:pStyle w:val="5"/>
        <w:adjustRightInd w:val="0"/>
        <w:snapToGrid w:val="0"/>
        <w:spacing w:line="360" w:lineRule="auto"/>
        <w:rPr>
          <w:rFonts w:ascii="宋体" w:hAnsi="宋体" w:cs="Arial"/>
          <w:szCs w:val="21"/>
        </w:rPr>
      </w:pPr>
      <w:r>
        <w:rPr>
          <w:rFonts w:hint="eastAsia" w:ascii="宋体" w:hAnsi="宋体" w:cs="Arial"/>
          <w:szCs w:val="21"/>
        </w:rPr>
        <w:t>按有关规定须经基金托管人复核的信息披露文件，由基金管理人起草、并经基金托管人复核后由基金管理人公告。发生《基金合同》中规定需要披露的事项时，按《基金合同》规定公布。</w:t>
      </w:r>
    </w:p>
    <w:p>
      <w:pPr>
        <w:pStyle w:val="5"/>
        <w:adjustRightInd w:val="0"/>
        <w:snapToGrid w:val="0"/>
        <w:spacing w:line="360" w:lineRule="auto"/>
        <w:rPr>
          <w:rFonts w:ascii="宋体" w:hAnsi="宋体" w:cs="Arial"/>
          <w:szCs w:val="21"/>
        </w:rPr>
      </w:pPr>
      <w:r>
        <w:rPr>
          <w:rFonts w:hint="eastAsia" w:ascii="宋体" w:hAnsi="宋体" w:cs="Arial"/>
          <w:szCs w:val="21"/>
        </w:rPr>
        <w:t>3.信息文本的存放</w:t>
      </w:r>
    </w:p>
    <w:p>
      <w:pPr>
        <w:pStyle w:val="5"/>
        <w:adjustRightInd w:val="0"/>
        <w:snapToGrid w:val="0"/>
        <w:spacing w:line="360" w:lineRule="auto"/>
        <w:rPr>
          <w:rFonts w:ascii="宋体" w:hAnsi="宋体" w:cs="Arial"/>
          <w:szCs w:val="21"/>
        </w:rPr>
      </w:pPr>
      <w:r>
        <w:rPr>
          <w:rFonts w:hint="eastAsia" w:ascii="宋体" w:hAnsi="宋体" w:cs="Arial"/>
          <w:szCs w:val="21"/>
        </w:rPr>
        <w:t>予以披露的信息文本，基金管理人、基金托管人应当按照相关法律法规规定将信息置备于公司住所，供社会公众查阅、复制。在支付工本费后可在合理时间获得上述文件的复制件或复印件。基金管理人和基金托管人应保证文本的内容与所公告的内容完全一致。</w:t>
      </w:r>
    </w:p>
    <w:p>
      <w:pPr>
        <w:pStyle w:val="5"/>
        <w:adjustRightInd w:val="0"/>
        <w:snapToGrid w:val="0"/>
        <w:spacing w:line="360" w:lineRule="auto"/>
        <w:rPr>
          <w:rFonts w:ascii="宋体" w:hAnsi="宋体" w:cs="Arial"/>
          <w:szCs w:val="21"/>
        </w:rPr>
      </w:pPr>
      <w:r>
        <w:rPr>
          <w:rFonts w:hint="eastAsia" w:ascii="宋体" w:hAnsi="宋体" w:cs="Arial"/>
          <w:szCs w:val="21"/>
        </w:rPr>
        <w:t>（四）实施侧袋机制期间的信息披露</w:t>
      </w:r>
    </w:p>
    <w:p>
      <w:pPr>
        <w:pStyle w:val="5"/>
        <w:adjustRightInd w:val="0"/>
        <w:snapToGrid w:val="0"/>
        <w:spacing w:line="360" w:lineRule="auto"/>
        <w:rPr>
          <w:rFonts w:ascii="宋体" w:hAnsi="宋体" w:cs="Arial"/>
          <w:szCs w:val="21"/>
        </w:rPr>
      </w:pPr>
      <w:r>
        <w:rPr>
          <w:rFonts w:hint="eastAsia" w:ascii="宋体" w:hAnsi="宋体" w:cs="Arial"/>
          <w:szCs w:val="21"/>
        </w:rPr>
        <w:t>本基金实施侧袋机制的，相关信息披露义务人应当根据法律法规、基金合同和招募说明书的规定进行信息披露，详见招募说明书的规定。</w:t>
      </w:r>
    </w:p>
    <w:p>
      <w:pPr>
        <w:pStyle w:val="5"/>
        <w:spacing w:line="360" w:lineRule="auto"/>
        <w:ind w:firstLine="0" w:firstLineChars="0"/>
        <w:rPr>
          <w:rFonts w:ascii="宋体" w:hAnsi="宋体" w:cs="Arial"/>
          <w:szCs w:val="21"/>
        </w:rPr>
      </w:pPr>
    </w:p>
    <w:bookmarkEnd w:id="119"/>
    <w:p>
      <w:pPr>
        <w:pStyle w:val="5"/>
        <w:adjustRightInd w:val="0"/>
        <w:snapToGrid w:val="0"/>
        <w:spacing w:line="360" w:lineRule="auto"/>
        <w:rPr>
          <w:rFonts w:ascii="宋体" w:hAnsi="宋体"/>
        </w:rPr>
        <w:sectPr>
          <w:footerReference r:id="rId16" w:type="default"/>
          <w:pgSz w:w="11906" w:h="16838"/>
          <w:pgMar w:top="1418" w:right="1701" w:bottom="1418" w:left="1701" w:header="851" w:footer="992" w:gutter="0"/>
          <w:pgNumType w:fmt="decimal"/>
          <w:cols w:space="425" w:num="1"/>
          <w:docGrid w:type="lines" w:linePitch="312" w:charSpace="0"/>
        </w:sectPr>
      </w:pPr>
    </w:p>
    <w:p>
      <w:pPr>
        <w:pStyle w:val="4"/>
        <w:spacing w:before="312" w:beforeLines="100" w:after="156" w:afterLines="50" w:line="360" w:lineRule="auto"/>
        <w:jc w:val="center"/>
        <w:rPr>
          <w:rFonts w:ascii="宋体" w:hAnsi="宋体" w:eastAsia="宋体"/>
          <w:sz w:val="21"/>
          <w:szCs w:val="21"/>
        </w:rPr>
      </w:pPr>
      <w:bookmarkStart w:id="122" w:name="_Toc348082039"/>
      <w:bookmarkStart w:id="123" w:name="CLAUSE_4e8eb2c6a639475ea3f801758d97e715"/>
      <w:r>
        <w:t xml:space="preserve"> </w:t>
      </w:r>
      <w:bookmarkStart w:id="124" w:name="CTS_4e8eb2c6a639475ea3f801758d97e715"/>
      <w:bookmarkEnd w:id="124"/>
      <w:bookmarkStart w:id="125" w:name="_Toc30354"/>
      <w:r>
        <w:rPr>
          <w:rFonts w:hint="eastAsia" w:ascii="宋体" w:hAnsi="宋体" w:eastAsia="宋体"/>
          <w:sz w:val="21"/>
          <w:szCs w:val="21"/>
        </w:rPr>
        <w:t>十一、基金费用</w:t>
      </w:r>
      <w:bookmarkEnd w:id="122"/>
      <w:bookmarkEnd w:id="125"/>
    </w:p>
    <w:p>
      <w:pPr>
        <w:adjustRightInd w:val="0"/>
        <w:snapToGrid w:val="0"/>
        <w:spacing w:line="360" w:lineRule="auto"/>
        <w:ind w:firstLine="420" w:firstLineChars="200"/>
        <w:rPr>
          <w:szCs w:val="21"/>
        </w:rPr>
      </w:pPr>
      <w:r>
        <w:rPr>
          <w:rFonts w:hint="eastAsia"/>
          <w:szCs w:val="21"/>
        </w:rPr>
        <w:t>（一）基金管理费的计提比例和计提方法</w:t>
      </w:r>
    </w:p>
    <w:p>
      <w:pPr>
        <w:adjustRightInd w:val="0"/>
        <w:snapToGrid w:val="0"/>
        <w:spacing w:line="360" w:lineRule="auto"/>
        <w:ind w:firstLine="420" w:firstLineChars="200"/>
        <w:rPr>
          <w:szCs w:val="21"/>
        </w:rPr>
      </w:pPr>
      <w:r>
        <w:rPr>
          <w:rFonts w:hint="eastAsia"/>
          <w:szCs w:val="21"/>
        </w:rPr>
        <w:t>本基金的管理费按前一日基金资产净值的0.50%年费率计提。管理费的计算方法如下：</w:t>
      </w:r>
    </w:p>
    <w:p>
      <w:pPr>
        <w:adjustRightInd w:val="0"/>
        <w:snapToGrid w:val="0"/>
        <w:spacing w:line="360" w:lineRule="auto"/>
        <w:ind w:firstLine="420" w:firstLineChars="200"/>
        <w:rPr>
          <w:szCs w:val="21"/>
        </w:rPr>
      </w:pPr>
      <w:r>
        <w:rPr>
          <w:rFonts w:hint="eastAsia"/>
          <w:szCs w:val="21"/>
        </w:rPr>
        <w:t>H＝E×年管理费率÷当年天数</w:t>
      </w:r>
    </w:p>
    <w:p>
      <w:pPr>
        <w:adjustRightInd w:val="0"/>
        <w:snapToGrid w:val="0"/>
        <w:spacing w:line="360" w:lineRule="auto"/>
        <w:ind w:firstLine="420" w:firstLineChars="200"/>
        <w:rPr>
          <w:szCs w:val="21"/>
        </w:rPr>
      </w:pPr>
      <w:r>
        <w:rPr>
          <w:rFonts w:hint="eastAsia"/>
          <w:szCs w:val="21"/>
        </w:rPr>
        <w:t>H为每日应计提的基金管理费</w:t>
      </w:r>
    </w:p>
    <w:p>
      <w:pPr>
        <w:adjustRightInd w:val="0"/>
        <w:snapToGrid w:val="0"/>
        <w:spacing w:line="360" w:lineRule="auto"/>
        <w:ind w:firstLine="420" w:firstLineChars="200"/>
        <w:rPr>
          <w:szCs w:val="21"/>
        </w:rPr>
      </w:pPr>
      <w:r>
        <w:rPr>
          <w:rFonts w:hint="eastAsia"/>
          <w:szCs w:val="21"/>
        </w:rPr>
        <w:t>E为前一日的基金资产净值</w:t>
      </w:r>
    </w:p>
    <w:p>
      <w:pPr>
        <w:adjustRightInd w:val="0"/>
        <w:snapToGrid w:val="0"/>
        <w:spacing w:line="360" w:lineRule="auto"/>
        <w:ind w:firstLine="420" w:firstLineChars="200"/>
        <w:rPr>
          <w:szCs w:val="21"/>
        </w:rPr>
      </w:pPr>
      <w:r>
        <w:rPr>
          <w:rFonts w:hint="eastAsia"/>
          <w:szCs w:val="21"/>
        </w:rPr>
        <w:t>基金管理人对本基金投资组合中投资于目标ETF部分的基金资产净值不计提基金管理费。</w:t>
      </w:r>
    </w:p>
    <w:p>
      <w:pPr>
        <w:adjustRightInd w:val="0"/>
        <w:snapToGrid w:val="0"/>
        <w:spacing w:line="360" w:lineRule="auto"/>
        <w:ind w:firstLine="420" w:firstLineChars="200"/>
        <w:rPr>
          <w:szCs w:val="21"/>
        </w:rPr>
      </w:pPr>
      <w:r>
        <w:rPr>
          <w:rFonts w:hint="eastAsia"/>
          <w:szCs w:val="21"/>
        </w:rPr>
        <w:t>前一日的基金资产净值为已扣除本基金投资于目标ETF部分基金资产净值后的净额，金额为负时以零计。</w:t>
      </w:r>
    </w:p>
    <w:p>
      <w:pPr>
        <w:adjustRightInd w:val="0"/>
        <w:snapToGrid w:val="0"/>
        <w:spacing w:line="360" w:lineRule="auto"/>
        <w:ind w:firstLine="420" w:firstLineChars="200"/>
        <w:rPr>
          <w:szCs w:val="21"/>
        </w:rPr>
      </w:pPr>
      <w:r>
        <w:rPr>
          <w:rFonts w:hint="eastAsia"/>
          <w:szCs w:val="21"/>
        </w:rPr>
        <w:t>（二）基金托管费的计提比例和计提方法</w:t>
      </w:r>
    </w:p>
    <w:p>
      <w:pPr>
        <w:adjustRightInd w:val="0"/>
        <w:snapToGrid w:val="0"/>
        <w:spacing w:line="360" w:lineRule="auto"/>
        <w:ind w:firstLine="420" w:firstLineChars="200"/>
        <w:rPr>
          <w:szCs w:val="21"/>
        </w:rPr>
      </w:pPr>
      <w:r>
        <w:rPr>
          <w:rFonts w:hint="eastAsia"/>
          <w:szCs w:val="21"/>
        </w:rPr>
        <w:t>本基金的托管费按前一日基金资产净值的0.10%年费率计提。托管费的计算方法如下：</w:t>
      </w:r>
    </w:p>
    <w:p>
      <w:pPr>
        <w:adjustRightInd w:val="0"/>
        <w:snapToGrid w:val="0"/>
        <w:spacing w:line="360" w:lineRule="auto"/>
        <w:ind w:firstLine="420" w:firstLineChars="200"/>
        <w:rPr>
          <w:szCs w:val="21"/>
        </w:rPr>
      </w:pPr>
      <w:r>
        <w:rPr>
          <w:rFonts w:hint="eastAsia"/>
          <w:szCs w:val="21"/>
        </w:rPr>
        <w:t>H＝E×年托管费率÷当年天数</w:t>
      </w:r>
    </w:p>
    <w:p>
      <w:pPr>
        <w:adjustRightInd w:val="0"/>
        <w:snapToGrid w:val="0"/>
        <w:spacing w:line="360" w:lineRule="auto"/>
        <w:ind w:firstLine="420" w:firstLineChars="200"/>
        <w:rPr>
          <w:szCs w:val="21"/>
        </w:rPr>
      </w:pPr>
      <w:r>
        <w:rPr>
          <w:rFonts w:hint="eastAsia"/>
          <w:szCs w:val="21"/>
        </w:rPr>
        <w:t>H为每日应计提的基金托管费</w:t>
      </w:r>
    </w:p>
    <w:p>
      <w:pPr>
        <w:adjustRightInd w:val="0"/>
        <w:snapToGrid w:val="0"/>
        <w:spacing w:line="360" w:lineRule="auto"/>
        <w:ind w:firstLine="420" w:firstLineChars="200"/>
        <w:rPr>
          <w:szCs w:val="21"/>
        </w:rPr>
      </w:pPr>
      <w:r>
        <w:rPr>
          <w:rFonts w:hint="eastAsia"/>
          <w:szCs w:val="21"/>
        </w:rPr>
        <w:t>E为前一日的基金资产净值</w:t>
      </w:r>
    </w:p>
    <w:p>
      <w:pPr>
        <w:adjustRightInd w:val="0"/>
        <w:snapToGrid w:val="0"/>
        <w:spacing w:line="360" w:lineRule="auto"/>
        <w:ind w:firstLine="420" w:firstLineChars="200"/>
        <w:rPr>
          <w:szCs w:val="21"/>
        </w:rPr>
      </w:pPr>
      <w:r>
        <w:rPr>
          <w:rFonts w:hint="eastAsia"/>
          <w:szCs w:val="21"/>
        </w:rPr>
        <w:t>基金托管人对本基金投资组合中投资于目标ETF部分的基金资产净值不计提基金托管费。</w:t>
      </w:r>
    </w:p>
    <w:p>
      <w:pPr>
        <w:adjustRightInd w:val="0"/>
        <w:snapToGrid w:val="0"/>
        <w:spacing w:line="360" w:lineRule="auto"/>
        <w:ind w:firstLine="420" w:firstLineChars="200"/>
        <w:rPr>
          <w:szCs w:val="21"/>
        </w:rPr>
      </w:pPr>
      <w:r>
        <w:rPr>
          <w:rFonts w:hint="eastAsia"/>
          <w:szCs w:val="21"/>
        </w:rPr>
        <w:t>前一日的基金资产净值为已扣除本基金投资于目标ETF部分基金资产净值后的净额，金额为负时以零计。</w:t>
      </w:r>
    </w:p>
    <w:p>
      <w:pPr>
        <w:adjustRightInd w:val="0"/>
        <w:snapToGrid w:val="0"/>
        <w:spacing w:line="360" w:lineRule="auto"/>
        <w:ind w:firstLine="420" w:firstLineChars="200"/>
        <w:rPr>
          <w:szCs w:val="21"/>
        </w:rPr>
      </w:pPr>
      <w:r>
        <w:rPr>
          <w:rFonts w:hint="eastAsia"/>
          <w:szCs w:val="21"/>
        </w:rPr>
        <w:t>（三）C类基金份额的销售服务费</w:t>
      </w:r>
    </w:p>
    <w:p>
      <w:pPr>
        <w:adjustRightInd w:val="0"/>
        <w:snapToGrid w:val="0"/>
        <w:spacing w:line="360" w:lineRule="auto"/>
        <w:ind w:firstLine="420" w:firstLineChars="200"/>
        <w:rPr>
          <w:szCs w:val="21"/>
        </w:rPr>
      </w:pPr>
      <w:r>
        <w:rPr>
          <w:rFonts w:hint="eastAsia"/>
          <w:szCs w:val="21"/>
        </w:rPr>
        <w:t>本基金A类基金份额不收取销售服务费，C类基金份额的销售服务费年费率为0.20%。</w:t>
      </w:r>
    </w:p>
    <w:p>
      <w:pPr>
        <w:adjustRightInd w:val="0"/>
        <w:snapToGrid w:val="0"/>
        <w:spacing w:line="360" w:lineRule="auto"/>
        <w:ind w:firstLine="420" w:firstLineChars="200"/>
        <w:rPr>
          <w:szCs w:val="21"/>
        </w:rPr>
      </w:pPr>
      <w:r>
        <w:rPr>
          <w:rFonts w:hint="eastAsia"/>
          <w:szCs w:val="21"/>
        </w:rPr>
        <w:t xml:space="preserve">本基金销售服务费按前一日C类基金份额的基金资产净值的0.20%年费率计提。销售服务费的计算方法如下： </w:t>
      </w:r>
    </w:p>
    <w:p>
      <w:pPr>
        <w:adjustRightInd w:val="0"/>
        <w:snapToGrid w:val="0"/>
        <w:spacing w:line="360" w:lineRule="auto"/>
        <w:ind w:firstLine="420" w:firstLineChars="200"/>
        <w:rPr>
          <w:szCs w:val="21"/>
        </w:rPr>
      </w:pPr>
      <w:r>
        <w:rPr>
          <w:rFonts w:hint="eastAsia"/>
          <w:szCs w:val="21"/>
        </w:rPr>
        <w:t>H=E×年销售服务费率÷当年天数</w:t>
      </w:r>
    </w:p>
    <w:p>
      <w:pPr>
        <w:adjustRightInd w:val="0"/>
        <w:snapToGrid w:val="0"/>
        <w:spacing w:line="360" w:lineRule="auto"/>
        <w:ind w:firstLine="420" w:firstLineChars="200"/>
        <w:rPr>
          <w:szCs w:val="21"/>
        </w:rPr>
      </w:pPr>
      <w:r>
        <w:rPr>
          <w:rFonts w:hint="eastAsia"/>
          <w:szCs w:val="21"/>
        </w:rPr>
        <w:t>H为C类基金份额每日应计提的销售服务费</w:t>
      </w:r>
    </w:p>
    <w:p>
      <w:pPr>
        <w:adjustRightInd w:val="0"/>
        <w:snapToGrid w:val="0"/>
        <w:spacing w:line="360" w:lineRule="auto"/>
        <w:ind w:firstLine="420" w:firstLineChars="200"/>
        <w:rPr>
          <w:szCs w:val="21"/>
        </w:rPr>
      </w:pPr>
      <w:r>
        <w:rPr>
          <w:rFonts w:hint="eastAsia"/>
          <w:szCs w:val="21"/>
        </w:rPr>
        <w:t>E为C类基金份额前一日基金资产净值</w:t>
      </w:r>
    </w:p>
    <w:p>
      <w:pPr>
        <w:adjustRightInd w:val="0"/>
        <w:snapToGrid w:val="0"/>
        <w:spacing w:line="360" w:lineRule="auto"/>
        <w:ind w:firstLine="420" w:firstLineChars="200"/>
        <w:rPr>
          <w:szCs w:val="21"/>
        </w:rPr>
      </w:pPr>
      <w:r>
        <w:rPr>
          <w:rFonts w:hint="eastAsia"/>
          <w:szCs w:val="21"/>
        </w:rPr>
        <w:t>（四）账户开户费用、账户维护费用、基金的银行汇划费用、《基金合同》生效后与基金相关的信息披露费用，法律法规、中国证监会另有规定的除外、基金份额持有人大会费用、《基金合同》生效后与基金有关的会计师费、公证费、审计费、律师费、仲裁费和诉讼费、基金的证券、期货、期权交易费用、基金投资目标ETF的相关费用（包括但不限于目标ETF的交易费用、申购赎回费用等）等根据有关法律法规、《基金合同》及相应协议的规定，列入当期基金费用。</w:t>
      </w:r>
    </w:p>
    <w:p>
      <w:pPr>
        <w:adjustRightInd w:val="0"/>
        <w:snapToGrid w:val="0"/>
        <w:spacing w:line="360" w:lineRule="auto"/>
        <w:ind w:firstLine="420" w:firstLineChars="200"/>
        <w:rPr>
          <w:szCs w:val="21"/>
        </w:rPr>
      </w:pPr>
      <w:r>
        <w:rPr>
          <w:rFonts w:hint="eastAsia"/>
          <w:szCs w:val="21"/>
        </w:rPr>
        <w:t>（五）不列入基金费用的项目</w:t>
      </w:r>
    </w:p>
    <w:p>
      <w:pPr>
        <w:adjustRightInd w:val="0"/>
        <w:snapToGrid w:val="0"/>
        <w:spacing w:line="360" w:lineRule="auto"/>
        <w:ind w:firstLine="420" w:firstLineChars="200"/>
        <w:rPr>
          <w:szCs w:val="21"/>
        </w:rPr>
      </w:pPr>
      <w:r>
        <w:rPr>
          <w:rFonts w:hint="eastAsia"/>
          <w:szCs w:val="21"/>
        </w:rPr>
        <w:t>《基金合同》生效前的相关费用不得从基金财产中列支；基金管理人和基金托管人因未履行或未完全履行义务导致的费用支出或基金财产的损失，指数许可使用费，处理与基金运作无关的事项发生的费用以及其他根据相关法律法规及中国证监会的有关规定不得列入基金费用的项目等不列入基金费用。</w:t>
      </w:r>
    </w:p>
    <w:p>
      <w:pPr>
        <w:adjustRightInd w:val="0"/>
        <w:snapToGrid w:val="0"/>
        <w:spacing w:line="360" w:lineRule="auto"/>
        <w:ind w:firstLine="420" w:firstLineChars="200"/>
        <w:rPr>
          <w:szCs w:val="21"/>
        </w:rPr>
      </w:pPr>
      <w:r>
        <w:rPr>
          <w:rFonts w:hint="eastAsia"/>
          <w:szCs w:val="21"/>
        </w:rPr>
        <w:t>（六）基金管理费、基金托管费、C类基金份额的销售服务费的复核程序、支付方式和时间</w:t>
      </w:r>
    </w:p>
    <w:p>
      <w:pPr>
        <w:adjustRightInd w:val="0"/>
        <w:snapToGrid w:val="0"/>
        <w:spacing w:line="360" w:lineRule="auto"/>
        <w:ind w:firstLine="420" w:firstLineChars="200"/>
        <w:rPr>
          <w:szCs w:val="21"/>
        </w:rPr>
      </w:pPr>
      <w:r>
        <w:rPr>
          <w:rFonts w:hint="eastAsia"/>
          <w:szCs w:val="21"/>
        </w:rPr>
        <w:t>1.复核程序</w:t>
      </w:r>
    </w:p>
    <w:p>
      <w:pPr>
        <w:adjustRightInd w:val="0"/>
        <w:snapToGrid w:val="0"/>
        <w:spacing w:line="360" w:lineRule="auto"/>
        <w:ind w:firstLine="420" w:firstLineChars="200"/>
        <w:rPr>
          <w:szCs w:val="21"/>
        </w:rPr>
      </w:pPr>
      <w:r>
        <w:rPr>
          <w:rFonts w:hint="eastAsia"/>
          <w:szCs w:val="21"/>
        </w:rPr>
        <w:t>基金托管人对基金管理人计提的基金管理费、基金托管费、C类基金份额的销售服务费等，根据本托管协议和《基金合同》的有关规定进行复核。</w:t>
      </w:r>
    </w:p>
    <w:p>
      <w:pPr>
        <w:adjustRightInd w:val="0"/>
        <w:snapToGrid w:val="0"/>
        <w:spacing w:line="360" w:lineRule="auto"/>
        <w:ind w:firstLine="420" w:firstLineChars="200"/>
        <w:rPr>
          <w:szCs w:val="21"/>
        </w:rPr>
      </w:pPr>
      <w:r>
        <w:rPr>
          <w:rFonts w:hint="eastAsia"/>
          <w:szCs w:val="21"/>
        </w:rPr>
        <w:t>2.支付方式和时间</w:t>
      </w:r>
    </w:p>
    <w:p>
      <w:pPr>
        <w:adjustRightInd w:val="0"/>
        <w:snapToGrid w:val="0"/>
        <w:spacing w:line="360" w:lineRule="auto"/>
        <w:ind w:firstLine="420" w:firstLineChars="200"/>
        <w:rPr>
          <w:szCs w:val="21"/>
        </w:rPr>
      </w:pPr>
      <w:r>
        <w:rPr>
          <w:rFonts w:hint="eastAsia"/>
          <w:szCs w:val="21"/>
        </w:rPr>
        <w:t>基金管理费、基金托管费、C类基金份额的销售服务费每日计提，逐日累计至每月月末，按月支付。由基金托管人根据与基金管理人核对一致的财务数据，自动在月初3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pPr>
        <w:adjustRightInd w:val="0"/>
        <w:snapToGrid w:val="0"/>
        <w:spacing w:line="360" w:lineRule="auto"/>
        <w:ind w:firstLine="420" w:firstLineChars="200"/>
        <w:rPr>
          <w:szCs w:val="21"/>
        </w:rPr>
      </w:pPr>
      <w:r>
        <w:rPr>
          <w:rFonts w:hint="eastAsia"/>
          <w:szCs w:val="21"/>
        </w:rPr>
        <w:t>在首期支付基金管理费、基金销售服务费前，基金管理人应向托管人出具正式函件指定基金管理费、基金销售服务费的收款账户。基金管理人如需要变更此账户，应提前5个工作日向托管人出具书面的收款账户变更通知。</w:t>
      </w:r>
    </w:p>
    <w:p>
      <w:pPr>
        <w:adjustRightInd w:val="0"/>
        <w:snapToGrid w:val="0"/>
        <w:spacing w:line="360" w:lineRule="auto"/>
        <w:ind w:firstLine="420" w:firstLineChars="200"/>
        <w:rPr>
          <w:szCs w:val="21"/>
        </w:rPr>
      </w:pPr>
      <w:r>
        <w:rPr>
          <w:rFonts w:hint="eastAsia"/>
          <w:szCs w:val="21"/>
        </w:rPr>
        <w:t>（七）违规处理方式</w:t>
      </w:r>
    </w:p>
    <w:p>
      <w:pPr>
        <w:adjustRightInd w:val="0"/>
        <w:snapToGrid w:val="0"/>
        <w:spacing w:line="360" w:lineRule="auto"/>
        <w:ind w:firstLine="420" w:firstLineChars="200"/>
        <w:rPr>
          <w:szCs w:val="21"/>
        </w:rPr>
      </w:pPr>
      <w:r>
        <w:rPr>
          <w:rFonts w:hint="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pPr>
        <w:adjustRightInd w:val="0"/>
        <w:snapToGrid w:val="0"/>
        <w:spacing w:line="360" w:lineRule="auto"/>
        <w:ind w:firstLine="420" w:firstLineChars="200"/>
        <w:rPr>
          <w:szCs w:val="21"/>
        </w:rPr>
      </w:pPr>
      <w:r>
        <w:rPr>
          <w:rFonts w:hint="eastAsia"/>
          <w:szCs w:val="21"/>
        </w:rPr>
        <w:t>（八）实施侧袋机制期间的基金费用</w:t>
      </w:r>
    </w:p>
    <w:p>
      <w:pPr>
        <w:adjustRightInd w:val="0"/>
        <w:snapToGrid w:val="0"/>
        <w:spacing w:line="360" w:lineRule="auto"/>
        <w:ind w:firstLine="420" w:firstLineChars="200"/>
        <w:rPr>
          <w:rFonts w:ascii="宋体" w:hAnsi="宋体" w:cs="Arial"/>
          <w:szCs w:val="21"/>
        </w:rPr>
      </w:pPr>
      <w:r>
        <w:rPr>
          <w:rFonts w:hint="eastAsia"/>
          <w:szCs w:val="21"/>
        </w:rPr>
        <w:t>本基金实施侧袋机制的，与侧袋账户有关的费用可以从侧袋账户中列支，但应待侧袋账户资产变现后方可列支，有关费用可酌情收取或减免，但不得收取管理费，详见招募说明书的规定</w:t>
      </w:r>
      <w:r>
        <w:rPr>
          <w:rFonts w:hint="eastAsia" w:ascii="宋体" w:hAnsi="宋体"/>
          <w:color w:val="000000"/>
          <w:szCs w:val="21"/>
        </w:rPr>
        <w:t>。</w:t>
      </w:r>
    </w:p>
    <w:bookmarkEnd w:id="123"/>
    <w:p>
      <w:pPr>
        <w:adjustRightInd w:val="0"/>
        <w:snapToGrid w:val="0"/>
        <w:spacing w:line="360" w:lineRule="auto"/>
        <w:ind w:firstLine="420" w:firstLineChars="200"/>
        <w:rPr>
          <w:rFonts w:ascii="宋体" w:hAnsi="宋体"/>
          <w:color w:val="000000"/>
        </w:rPr>
        <w:sectPr>
          <w:footerReference r:id="rId17" w:type="default"/>
          <w:pgSz w:w="11906" w:h="16838"/>
          <w:pgMar w:top="1418" w:right="1701" w:bottom="1418" w:left="1701" w:header="851" w:footer="992" w:gutter="0"/>
          <w:pgNumType w:fmt="decimal"/>
          <w:cols w:space="425" w:num="1"/>
          <w:docGrid w:type="lines" w:linePitch="312" w:charSpace="0"/>
        </w:sectPr>
      </w:pPr>
    </w:p>
    <w:p>
      <w:pPr>
        <w:pStyle w:val="4"/>
        <w:spacing w:before="312" w:beforeLines="100" w:after="156" w:afterLines="50" w:line="360" w:lineRule="auto"/>
        <w:ind w:firstLine="803" w:firstLineChars="250"/>
        <w:jc w:val="center"/>
        <w:rPr>
          <w:rFonts w:ascii="宋体" w:hAnsi="宋体" w:eastAsia="宋体"/>
          <w:sz w:val="21"/>
          <w:szCs w:val="21"/>
        </w:rPr>
      </w:pPr>
      <w:bookmarkStart w:id="126" w:name="_Toc348082040"/>
      <w:bookmarkStart w:id="127" w:name="CLAUSE_db9573bab8b44bc6a382114124c4e514"/>
      <w:r>
        <w:t xml:space="preserve"> </w:t>
      </w:r>
      <w:bookmarkStart w:id="128" w:name="CTS_db9573bab8b44bc6a382114124c4e514"/>
      <w:bookmarkEnd w:id="128"/>
      <w:bookmarkStart w:id="129" w:name="_Toc14721"/>
      <w:r>
        <w:rPr>
          <w:rFonts w:hint="eastAsia" w:ascii="宋体" w:hAnsi="宋体" w:eastAsia="宋体"/>
          <w:sz w:val="21"/>
          <w:szCs w:val="21"/>
        </w:rPr>
        <w:t>十二、基金份额持有人名册的保管</w:t>
      </w:r>
      <w:bookmarkEnd w:id="126"/>
      <w:bookmarkEnd w:id="129"/>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20年，法律法规或监管部门另有规定的除外。如不能妥善保管，则按相关法规承担责任。</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pPr>
        <w:adjustRightInd w:val="0"/>
        <w:snapToGrid w:val="0"/>
        <w:spacing w:line="360" w:lineRule="auto"/>
        <w:ind w:firstLine="420" w:firstLineChars="200"/>
        <w:rPr>
          <w:rFonts w:ascii="宋体" w:hAnsi="宋体" w:cs="Arial"/>
          <w:szCs w:val="21"/>
        </w:rPr>
      </w:pPr>
    </w:p>
    <w:bookmarkEnd w:id="127"/>
    <w:p>
      <w:pPr>
        <w:adjustRightInd w:val="0"/>
        <w:snapToGrid w:val="0"/>
        <w:spacing w:line="360" w:lineRule="auto"/>
        <w:ind w:firstLine="420" w:firstLineChars="200"/>
        <w:rPr>
          <w:rFonts w:ascii="宋体" w:hAnsi="宋体"/>
        </w:rPr>
        <w:sectPr>
          <w:footerReference r:id="rId18" w:type="default"/>
          <w:pgSz w:w="11906" w:h="16838"/>
          <w:pgMar w:top="1418" w:right="1701" w:bottom="1418" w:left="1701" w:header="851" w:footer="992" w:gutter="0"/>
          <w:pgNumType w:fmt="decimal"/>
          <w:cols w:space="425" w:num="1"/>
          <w:docGrid w:type="lines" w:linePitch="312" w:charSpace="0"/>
        </w:sectPr>
      </w:pPr>
    </w:p>
    <w:p>
      <w:pPr>
        <w:pStyle w:val="4"/>
        <w:spacing w:before="312" w:beforeLines="100" w:after="156" w:afterLines="50" w:line="360" w:lineRule="auto"/>
        <w:ind w:firstLine="480"/>
        <w:jc w:val="center"/>
        <w:rPr>
          <w:sz w:val="21"/>
          <w:szCs w:val="21"/>
        </w:rPr>
      </w:pPr>
      <w:bookmarkStart w:id="130" w:name="_Toc348082041"/>
      <w:bookmarkStart w:id="131" w:name="CLAUSE_9c4b25460f2b49bc8a5240f9442065d6"/>
      <w:r>
        <w:t xml:space="preserve"> </w:t>
      </w:r>
      <w:bookmarkStart w:id="132" w:name="CTS_9c4b25460f2b49bc8a5240f9442065d6"/>
      <w:bookmarkEnd w:id="132"/>
      <w:bookmarkStart w:id="133" w:name="_Toc9278"/>
      <w:r>
        <w:rPr>
          <w:rFonts w:hint="eastAsia" w:ascii="宋体" w:hAnsi="宋体" w:eastAsia="宋体"/>
          <w:sz w:val="21"/>
          <w:szCs w:val="21"/>
        </w:rPr>
        <w:t>十三、基金有关文件档案的保存</w:t>
      </w:r>
      <w:bookmarkEnd w:id="130"/>
      <w:bookmarkEnd w:id="133"/>
    </w:p>
    <w:p>
      <w:pPr>
        <w:adjustRightInd w:val="0"/>
        <w:snapToGrid w:val="0"/>
        <w:spacing w:line="360" w:lineRule="auto"/>
        <w:ind w:firstLine="420" w:firstLineChars="200"/>
        <w:outlineLvl w:val="2"/>
        <w:rPr>
          <w:rFonts w:ascii="宋体" w:hAnsi="宋体" w:cs="Arial"/>
          <w:szCs w:val="21"/>
        </w:rPr>
      </w:pPr>
      <w:r>
        <w:rPr>
          <w:rFonts w:hint="eastAsia" w:ascii="宋体" w:hAnsi="宋体" w:cs="Arial"/>
          <w:szCs w:val="21"/>
        </w:rPr>
        <w:t>（一）档案保存</w:t>
      </w:r>
    </w:p>
    <w:p>
      <w:pPr>
        <w:adjustRightInd w:val="0"/>
        <w:snapToGrid w:val="0"/>
        <w:spacing w:line="360" w:lineRule="auto"/>
        <w:ind w:firstLine="420" w:firstLineChars="200"/>
        <w:outlineLvl w:val="2"/>
        <w:rPr>
          <w:rFonts w:ascii="宋体" w:hAnsi="宋体" w:cs="Arial"/>
          <w:szCs w:val="21"/>
        </w:rPr>
      </w:pPr>
      <w:r>
        <w:rPr>
          <w:rFonts w:hint="eastAsia" w:ascii="宋体" w:hAnsi="宋体" w:cs="Arial"/>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20年，法律法规或监管部门另有规定的除外。</w:t>
      </w:r>
    </w:p>
    <w:p>
      <w:pPr>
        <w:adjustRightInd w:val="0"/>
        <w:snapToGrid w:val="0"/>
        <w:spacing w:line="360" w:lineRule="auto"/>
        <w:ind w:firstLine="420" w:firstLineChars="200"/>
        <w:outlineLvl w:val="2"/>
        <w:rPr>
          <w:rFonts w:ascii="宋体" w:hAnsi="宋体" w:cs="Arial"/>
          <w:szCs w:val="21"/>
        </w:rPr>
      </w:pPr>
      <w:r>
        <w:rPr>
          <w:rFonts w:hint="eastAsia" w:ascii="宋体" w:hAnsi="宋体" w:cs="Arial"/>
          <w:szCs w:val="21"/>
        </w:rPr>
        <w:t>（二）合同档案的建立</w:t>
      </w:r>
    </w:p>
    <w:p>
      <w:pPr>
        <w:adjustRightInd w:val="0"/>
        <w:snapToGrid w:val="0"/>
        <w:spacing w:line="360" w:lineRule="auto"/>
        <w:ind w:firstLine="420" w:firstLineChars="200"/>
        <w:outlineLvl w:val="2"/>
        <w:rPr>
          <w:rFonts w:ascii="宋体" w:hAnsi="宋体" w:cs="Arial"/>
          <w:szCs w:val="21"/>
        </w:rPr>
      </w:pPr>
      <w:r>
        <w:rPr>
          <w:rFonts w:hint="eastAsia" w:ascii="宋体" w:hAnsi="宋体" w:cs="Arial"/>
          <w:szCs w:val="21"/>
        </w:rPr>
        <w:t>1.基金管理人签署重大合同文本后，应及时将合同文本正本送达基金托管人处。</w:t>
      </w:r>
    </w:p>
    <w:p>
      <w:pPr>
        <w:adjustRightInd w:val="0"/>
        <w:snapToGrid w:val="0"/>
        <w:spacing w:line="360" w:lineRule="auto"/>
        <w:ind w:firstLine="420" w:firstLineChars="200"/>
        <w:outlineLvl w:val="2"/>
        <w:rPr>
          <w:rFonts w:ascii="宋体" w:hAnsi="宋体" w:cs="Arial"/>
          <w:szCs w:val="21"/>
        </w:rPr>
      </w:pPr>
      <w:r>
        <w:rPr>
          <w:rFonts w:hint="eastAsia" w:ascii="宋体" w:hAnsi="宋体" w:cs="Arial"/>
          <w:szCs w:val="21"/>
        </w:rPr>
        <w:t>2.基金管理人应及时将与本基金账务处理、资金划拨等有关的合同、协议传真基金托管人。</w:t>
      </w:r>
    </w:p>
    <w:p>
      <w:pPr>
        <w:adjustRightInd w:val="0"/>
        <w:snapToGrid w:val="0"/>
        <w:spacing w:line="360" w:lineRule="auto"/>
        <w:ind w:firstLine="420" w:firstLineChars="200"/>
        <w:outlineLvl w:val="2"/>
        <w:rPr>
          <w:rFonts w:ascii="宋体" w:hAnsi="宋体" w:cs="Arial"/>
          <w:szCs w:val="21"/>
        </w:rPr>
      </w:pPr>
      <w:r>
        <w:rPr>
          <w:rFonts w:hint="eastAsia" w:ascii="宋体" w:hAnsi="宋体" w:cs="Arial"/>
          <w:szCs w:val="21"/>
        </w:rPr>
        <w:t>（三）变更与协助</w:t>
      </w:r>
    </w:p>
    <w:p>
      <w:pPr>
        <w:adjustRightInd w:val="0"/>
        <w:snapToGrid w:val="0"/>
        <w:spacing w:line="360" w:lineRule="auto"/>
        <w:ind w:firstLine="420" w:firstLineChars="200"/>
        <w:outlineLvl w:val="2"/>
        <w:rPr>
          <w:rFonts w:ascii="宋体" w:hAnsi="宋体" w:cs="Arial"/>
          <w:szCs w:val="21"/>
        </w:rPr>
      </w:pPr>
      <w:r>
        <w:rPr>
          <w:rFonts w:hint="eastAsia" w:ascii="宋体" w:hAnsi="宋体" w:cs="Arial"/>
          <w:szCs w:val="21"/>
        </w:rPr>
        <w:t>若基金管理人/基金托管人发生变更，未变更的一方有义务协助变更后的接任人接收相应文件。</w:t>
      </w:r>
    </w:p>
    <w:p>
      <w:pPr>
        <w:adjustRightInd w:val="0"/>
        <w:snapToGrid w:val="0"/>
        <w:spacing w:line="360" w:lineRule="auto"/>
        <w:ind w:firstLine="420" w:firstLineChars="200"/>
        <w:outlineLvl w:val="2"/>
        <w:rPr>
          <w:rFonts w:ascii="宋体" w:hAnsi="宋体" w:cs="Arial"/>
          <w:szCs w:val="21"/>
        </w:rPr>
      </w:pPr>
      <w:r>
        <w:rPr>
          <w:rFonts w:hint="eastAsia" w:ascii="宋体" w:hAnsi="宋体" w:cs="Arial"/>
          <w:szCs w:val="21"/>
        </w:rPr>
        <w:t>（四）基金管理人和基金托管人应按各自职责完整保存原始凭证、记账凭证、基金账册、交易记录和重要合同等，承担保密义务并保存至少20年，法律法规或监管部门另有规定的除外。</w:t>
      </w:r>
    </w:p>
    <w:p>
      <w:pPr>
        <w:adjustRightInd w:val="0"/>
        <w:snapToGrid w:val="0"/>
        <w:spacing w:line="360" w:lineRule="auto"/>
        <w:rPr>
          <w:rFonts w:ascii="宋体" w:hAnsi="宋体"/>
          <w:szCs w:val="21"/>
        </w:rPr>
      </w:pPr>
    </w:p>
    <w:bookmarkEnd w:id="131"/>
    <w:p>
      <w:pPr>
        <w:adjustRightInd w:val="0"/>
        <w:snapToGrid w:val="0"/>
        <w:spacing w:line="360" w:lineRule="auto"/>
        <w:ind w:firstLine="420" w:firstLineChars="200"/>
        <w:outlineLvl w:val="2"/>
        <w:rPr>
          <w:rFonts w:ascii="宋体" w:hAnsi="宋体"/>
        </w:rPr>
        <w:sectPr>
          <w:footerReference r:id="rId19" w:type="default"/>
          <w:pgSz w:w="11906" w:h="16838"/>
          <w:pgMar w:top="1418" w:right="1701" w:bottom="1418" w:left="1701" w:header="851" w:footer="992" w:gutter="0"/>
          <w:pgNumType w:fmt="decimal"/>
          <w:cols w:space="425" w:num="1"/>
          <w:docGrid w:type="lines" w:linePitch="312" w:charSpace="0"/>
        </w:sectPr>
      </w:pPr>
    </w:p>
    <w:p>
      <w:pPr>
        <w:pStyle w:val="4"/>
        <w:spacing w:before="312" w:beforeLines="100" w:after="156" w:afterLines="50" w:line="360" w:lineRule="auto"/>
        <w:jc w:val="center"/>
        <w:rPr>
          <w:rFonts w:ascii="宋体" w:hAnsi="宋体" w:eastAsia="宋体"/>
          <w:sz w:val="21"/>
          <w:szCs w:val="21"/>
        </w:rPr>
      </w:pPr>
      <w:bookmarkStart w:id="134" w:name="_Toc348082042"/>
      <w:bookmarkStart w:id="135" w:name="CLAUSE_82c19b8ab92c43218e9f5ebc9dde4bef"/>
      <w:r>
        <w:t xml:space="preserve"> </w:t>
      </w:r>
      <w:bookmarkStart w:id="136" w:name="CTS_82c19b8ab92c43218e9f5ebc9dde4bef"/>
      <w:bookmarkEnd w:id="136"/>
      <w:bookmarkStart w:id="137" w:name="_Toc3609"/>
      <w:r>
        <w:rPr>
          <w:rFonts w:hint="eastAsia" w:ascii="宋体" w:hAnsi="宋体" w:eastAsia="宋体"/>
          <w:sz w:val="21"/>
          <w:szCs w:val="21"/>
        </w:rPr>
        <w:t>十四、基金管理人和基金托管人的更换</w:t>
      </w:r>
      <w:bookmarkEnd w:id="134"/>
      <w:bookmarkEnd w:id="137"/>
    </w:p>
    <w:p>
      <w:pPr>
        <w:spacing w:line="360" w:lineRule="auto"/>
        <w:ind w:firstLine="420"/>
        <w:rPr>
          <w:rFonts w:ascii="宋体" w:hAnsi="宋体"/>
          <w:szCs w:val="21"/>
        </w:rPr>
      </w:pPr>
      <w:r>
        <w:rPr>
          <w:rFonts w:hint="eastAsia" w:ascii="宋体" w:hAnsi="宋体"/>
          <w:szCs w:val="21"/>
        </w:rPr>
        <w:t>（一）基金管理人职责终止的情形</w:t>
      </w:r>
    </w:p>
    <w:p>
      <w:pPr>
        <w:spacing w:line="360" w:lineRule="auto"/>
        <w:ind w:firstLine="420"/>
        <w:rPr>
          <w:rFonts w:ascii="宋体" w:hAnsi="宋体"/>
          <w:szCs w:val="21"/>
        </w:rPr>
      </w:pPr>
      <w:r>
        <w:rPr>
          <w:rFonts w:hint="eastAsia" w:ascii="宋体" w:hAnsi="宋体"/>
          <w:szCs w:val="21"/>
        </w:rPr>
        <w:t>1.基金管理人职责终止的情形</w:t>
      </w:r>
    </w:p>
    <w:p>
      <w:pPr>
        <w:spacing w:line="360" w:lineRule="auto"/>
        <w:ind w:firstLine="420"/>
        <w:rPr>
          <w:rFonts w:ascii="宋体" w:hAnsi="宋体"/>
          <w:szCs w:val="21"/>
        </w:rPr>
      </w:pPr>
      <w:r>
        <w:rPr>
          <w:rFonts w:hint="eastAsia" w:ascii="宋体" w:hAnsi="宋体"/>
          <w:szCs w:val="21"/>
        </w:rPr>
        <w:t>有下列情形之一的，基金管理人职责终止：</w:t>
      </w:r>
    </w:p>
    <w:p>
      <w:pPr>
        <w:spacing w:line="360" w:lineRule="auto"/>
        <w:ind w:firstLine="420"/>
        <w:rPr>
          <w:rFonts w:ascii="宋体" w:hAnsi="宋体"/>
          <w:szCs w:val="21"/>
        </w:rPr>
      </w:pPr>
      <w:r>
        <w:rPr>
          <w:rFonts w:hint="eastAsia" w:ascii="宋体" w:hAnsi="宋体"/>
          <w:szCs w:val="21"/>
        </w:rPr>
        <w:t>(1)被依法取消基金管理资格；</w:t>
      </w:r>
    </w:p>
    <w:p>
      <w:pPr>
        <w:spacing w:line="360" w:lineRule="auto"/>
        <w:ind w:firstLine="420"/>
        <w:rPr>
          <w:rFonts w:ascii="宋体" w:hAnsi="宋体"/>
          <w:szCs w:val="21"/>
        </w:rPr>
      </w:pPr>
      <w:r>
        <w:rPr>
          <w:rFonts w:hint="eastAsia" w:ascii="宋体" w:hAnsi="宋体"/>
          <w:szCs w:val="21"/>
        </w:rPr>
        <w:t>(2)依法解散、被依法撤销或被依法宣告破产；</w:t>
      </w:r>
    </w:p>
    <w:p>
      <w:pPr>
        <w:spacing w:line="360" w:lineRule="auto"/>
        <w:ind w:firstLine="420"/>
        <w:rPr>
          <w:rFonts w:ascii="宋体" w:hAnsi="宋体"/>
          <w:szCs w:val="21"/>
        </w:rPr>
      </w:pPr>
      <w:r>
        <w:rPr>
          <w:rFonts w:hint="eastAsia" w:ascii="宋体" w:hAnsi="宋体"/>
          <w:szCs w:val="21"/>
        </w:rPr>
        <w:t>(3)被基金份额持有人大会解任；</w:t>
      </w:r>
    </w:p>
    <w:p>
      <w:pPr>
        <w:spacing w:line="360" w:lineRule="auto"/>
        <w:ind w:firstLine="420"/>
        <w:rPr>
          <w:rFonts w:ascii="宋体" w:hAnsi="宋体"/>
          <w:szCs w:val="21"/>
        </w:rPr>
      </w:pPr>
      <w:r>
        <w:rPr>
          <w:rFonts w:hint="eastAsia" w:ascii="宋体" w:hAnsi="宋体"/>
          <w:szCs w:val="21"/>
        </w:rPr>
        <w:t>(4)法律法规及中国证监会规定的和《基金合同》约定的其他情形。</w:t>
      </w:r>
    </w:p>
    <w:p>
      <w:pPr>
        <w:spacing w:line="360" w:lineRule="auto"/>
        <w:ind w:firstLine="420"/>
        <w:rPr>
          <w:rFonts w:ascii="宋体" w:hAnsi="宋体"/>
          <w:szCs w:val="21"/>
        </w:rPr>
      </w:pPr>
      <w:r>
        <w:rPr>
          <w:rFonts w:hint="eastAsia" w:ascii="宋体" w:hAnsi="宋体"/>
          <w:szCs w:val="21"/>
        </w:rPr>
        <w:t>2.基金管理人的更换程序</w:t>
      </w:r>
    </w:p>
    <w:p>
      <w:pPr>
        <w:spacing w:line="360" w:lineRule="auto"/>
        <w:ind w:firstLine="420"/>
        <w:rPr>
          <w:rFonts w:ascii="宋体" w:hAnsi="宋体"/>
          <w:szCs w:val="21"/>
        </w:rPr>
      </w:pPr>
      <w:r>
        <w:rPr>
          <w:rFonts w:hint="eastAsia" w:ascii="宋体" w:hAnsi="宋体"/>
          <w:szCs w:val="21"/>
        </w:rPr>
        <w:t>更换基金管理人必须依照如下程序进行：</w:t>
      </w:r>
    </w:p>
    <w:p>
      <w:pPr>
        <w:spacing w:line="360" w:lineRule="auto"/>
        <w:ind w:firstLine="420"/>
        <w:rPr>
          <w:rFonts w:ascii="宋体" w:hAnsi="宋体"/>
          <w:szCs w:val="21"/>
        </w:rPr>
      </w:pPr>
      <w:r>
        <w:rPr>
          <w:rFonts w:hint="eastAsia" w:ascii="宋体" w:hAnsi="宋体"/>
          <w:szCs w:val="21"/>
        </w:rPr>
        <w:t>(1)提名：新任基金管理人由基金托管人或由单独或合计持有10%以上(含10%)基金份额的基金份额持有人提名；</w:t>
      </w:r>
    </w:p>
    <w:p>
      <w:pPr>
        <w:spacing w:line="360" w:lineRule="auto"/>
        <w:ind w:firstLine="420"/>
        <w:rPr>
          <w:rFonts w:ascii="宋体" w:hAnsi="宋体"/>
          <w:szCs w:val="21"/>
        </w:rPr>
      </w:pPr>
      <w:r>
        <w:rPr>
          <w:rFonts w:hint="eastAsia" w:ascii="宋体" w:hAnsi="宋体"/>
          <w:szCs w:val="21"/>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pPr>
        <w:spacing w:line="360" w:lineRule="auto"/>
        <w:ind w:firstLine="420"/>
        <w:rPr>
          <w:rFonts w:ascii="宋体" w:hAnsi="宋体"/>
          <w:szCs w:val="21"/>
        </w:rPr>
      </w:pPr>
      <w:r>
        <w:rPr>
          <w:rFonts w:hint="eastAsia" w:ascii="宋体" w:hAnsi="宋体"/>
          <w:szCs w:val="21"/>
        </w:rPr>
        <w:t>(3)临时基金管理人：新任基金管理人产生之前，由中国证监会指定临时基金管理人；</w:t>
      </w:r>
    </w:p>
    <w:p>
      <w:pPr>
        <w:spacing w:line="360" w:lineRule="auto"/>
        <w:ind w:firstLine="420"/>
        <w:rPr>
          <w:rFonts w:ascii="宋体" w:hAnsi="宋体"/>
          <w:szCs w:val="21"/>
        </w:rPr>
      </w:pPr>
      <w:r>
        <w:rPr>
          <w:rFonts w:hint="eastAsia" w:ascii="宋体" w:hAnsi="宋体"/>
          <w:szCs w:val="21"/>
        </w:rPr>
        <w:t>(4)备案：基金份额持有人大会更换基金管理人的决议须报中国证监会备案；</w:t>
      </w:r>
    </w:p>
    <w:p>
      <w:pPr>
        <w:spacing w:line="360" w:lineRule="auto"/>
        <w:ind w:firstLine="420"/>
        <w:rPr>
          <w:rFonts w:ascii="宋体" w:hAnsi="宋体"/>
          <w:szCs w:val="21"/>
        </w:rPr>
      </w:pPr>
      <w:r>
        <w:rPr>
          <w:rFonts w:hint="eastAsia" w:ascii="宋体" w:hAnsi="宋体"/>
          <w:szCs w:val="21"/>
        </w:rPr>
        <w:t>(5)公告：基金管理人更换后，由基金托管人在更换基金管理人的基金份额持有人大会决议生效后按规定在规定媒介公告；</w:t>
      </w:r>
    </w:p>
    <w:p>
      <w:pPr>
        <w:spacing w:line="360" w:lineRule="auto"/>
        <w:ind w:firstLine="420"/>
        <w:rPr>
          <w:rFonts w:ascii="宋体" w:hAnsi="宋体"/>
          <w:szCs w:val="21"/>
        </w:rPr>
      </w:pPr>
      <w:r>
        <w:rPr>
          <w:rFonts w:hint="eastAsia" w:ascii="宋体" w:hAnsi="宋体"/>
          <w:szCs w:val="21"/>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pPr>
        <w:spacing w:line="360" w:lineRule="auto"/>
        <w:ind w:firstLine="420"/>
        <w:rPr>
          <w:rFonts w:ascii="宋体" w:hAnsi="宋体"/>
          <w:szCs w:val="21"/>
        </w:rPr>
      </w:pPr>
      <w:r>
        <w:rPr>
          <w:rFonts w:hint="eastAsia" w:ascii="宋体" w:hAnsi="宋体"/>
          <w:szCs w:val="21"/>
        </w:rPr>
        <w:t>(7)审计：基金管理人职责终止的，应当按照法律法规规定聘请会计师事务所对基金财产进行审计，并将审计结果予以公告，同时报中国证监会备案，审计费用由基金财产承担；</w:t>
      </w:r>
    </w:p>
    <w:p>
      <w:pPr>
        <w:spacing w:line="360" w:lineRule="auto"/>
        <w:ind w:firstLine="420"/>
        <w:rPr>
          <w:rFonts w:ascii="宋体" w:hAnsi="宋体"/>
          <w:szCs w:val="21"/>
        </w:rPr>
      </w:pPr>
      <w:r>
        <w:rPr>
          <w:rFonts w:hint="eastAsia" w:ascii="宋体" w:hAnsi="宋体"/>
          <w:szCs w:val="21"/>
        </w:rPr>
        <w:t>(8)基金名称变更：基金管理人更换后，如果原任或新任基金管理人要求，应按其要求替换或删除基金名称中与原基金管理人有关的名称字样。</w:t>
      </w:r>
    </w:p>
    <w:p>
      <w:pPr>
        <w:spacing w:line="360" w:lineRule="auto"/>
        <w:ind w:firstLine="420"/>
        <w:rPr>
          <w:rFonts w:ascii="宋体" w:hAnsi="宋体"/>
          <w:szCs w:val="21"/>
        </w:rPr>
      </w:pPr>
      <w:r>
        <w:rPr>
          <w:rFonts w:hint="eastAsia" w:ascii="宋体" w:hAnsi="宋体"/>
          <w:szCs w:val="21"/>
        </w:rPr>
        <w:t>（二）基金托管人职责终止的情形</w:t>
      </w:r>
    </w:p>
    <w:p>
      <w:pPr>
        <w:spacing w:line="360" w:lineRule="auto"/>
        <w:ind w:firstLine="420"/>
        <w:rPr>
          <w:rFonts w:ascii="宋体" w:hAnsi="宋体"/>
          <w:szCs w:val="21"/>
        </w:rPr>
      </w:pPr>
      <w:r>
        <w:rPr>
          <w:rFonts w:hint="eastAsia" w:ascii="宋体" w:hAnsi="宋体"/>
          <w:szCs w:val="21"/>
        </w:rPr>
        <w:t>1.基金托管人职责终止的情形</w:t>
      </w:r>
    </w:p>
    <w:p>
      <w:pPr>
        <w:spacing w:line="360" w:lineRule="auto"/>
        <w:ind w:firstLine="420"/>
        <w:rPr>
          <w:rFonts w:ascii="宋体" w:hAnsi="宋体"/>
          <w:szCs w:val="21"/>
        </w:rPr>
      </w:pPr>
      <w:r>
        <w:rPr>
          <w:rFonts w:hint="eastAsia" w:ascii="宋体" w:hAnsi="宋体"/>
          <w:szCs w:val="21"/>
        </w:rPr>
        <w:t>有下列情形之一的，基金托管人职责终止：</w:t>
      </w:r>
    </w:p>
    <w:p>
      <w:pPr>
        <w:spacing w:line="360" w:lineRule="auto"/>
        <w:ind w:firstLine="420"/>
        <w:rPr>
          <w:rFonts w:ascii="宋体" w:hAnsi="宋体"/>
          <w:szCs w:val="21"/>
        </w:rPr>
      </w:pPr>
      <w:r>
        <w:rPr>
          <w:rFonts w:hint="eastAsia" w:ascii="宋体" w:hAnsi="宋体"/>
          <w:szCs w:val="21"/>
        </w:rPr>
        <w:t>(1)被依法取消基金托管资格；</w:t>
      </w:r>
    </w:p>
    <w:p>
      <w:pPr>
        <w:spacing w:line="360" w:lineRule="auto"/>
        <w:ind w:firstLine="420"/>
        <w:rPr>
          <w:rFonts w:ascii="宋体" w:hAnsi="宋体"/>
          <w:szCs w:val="21"/>
        </w:rPr>
      </w:pPr>
      <w:r>
        <w:rPr>
          <w:rFonts w:hint="eastAsia" w:ascii="宋体" w:hAnsi="宋体"/>
          <w:szCs w:val="21"/>
        </w:rPr>
        <w:t>(2)依法解散、被依法撤销或被依法宣告破产；</w:t>
      </w:r>
    </w:p>
    <w:p>
      <w:pPr>
        <w:spacing w:line="360" w:lineRule="auto"/>
        <w:ind w:firstLine="420"/>
        <w:rPr>
          <w:rFonts w:ascii="宋体" w:hAnsi="宋体"/>
          <w:szCs w:val="21"/>
        </w:rPr>
      </w:pPr>
      <w:r>
        <w:rPr>
          <w:rFonts w:hint="eastAsia" w:ascii="宋体" w:hAnsi="宋体"/>
          <w:szCs w:val="21"/>
        </w:rPr>
        <w:t>(3)被基金份额持有人大会解任；</w:t>
      </w:r>
    </w:p>
    <w:p>
      <w:pPr>
        <w:spacing w:line="360" w:lineRule="auto"/>
        <w:ind w:firstLine="420"/>
        <w:rPr>
          <w:rFonts w:ascii="宋体" w:hAnsi="宋体"/>
          <w:szCs w:val="21"/>
        </w:rPr>
      </w:pPr>
      <w:r>
        <w:rPr>
          <w:rFonts w:hint="eastAsia" w:ascii="宋体" w:hAnsi="宋体"/>
          <w:szCs w:val="21"/>
        </w:rPr>
        <w:t>(4)法律法规及中国证监会规定的和《基金合同》约定的其他情形。</w:t>
      </w:r>
    </w:p>
    <w:p>
      <w:pPr>
        <w:spacing w:line="360" w:lineRule="auto"/>
        <w:ind w:firstLine="420"/>
        <w:rPr>
          <w:rFonts w:ascii="宋体" w:hAnsi="宋体"/>
          <w:szCs w:val="21"/>
        </w:rPr>
      </w:pPr>
      <w:r>
        <w:rPr>
          <w:rFonts w:hint="eastAsia" w:ascii="宋体" w:hAnsi="宋体"/>
          <w:szCs w:val="21"/>
        </w:rPr>
        <w:t>2.基金托管人的更换程序</w:t>
      </w:r>
    </w:p>
    <w:p>
      <w:pPr>
        <w:spacing w:line="360" w:lineRule="auto"/>
        <w:ind w:firstLine="420"/>
        <w:rPr>
          <w:rFonts w:ascii="宋体" w:hAnsi="宋体"/>
          <w:szCs w:val="21"/>
        </w:rPr>
      </w:pPr>
      <w:r>
        <w:rPr>
          <w:rFonts w:hint="eastAsia" w:ascii="宋体" w:hAnsi="宋体"/>
          <w:szCs w:val="21"/>
        </w:rPr>
        <w:t>(1)提名：新任基金托管人由基金管理人或由单独或合计持有10%以上(含10%)基金份额的基金份额持有人提名；</w:t>
      </w:r>
    </w:p>
    <w:p>
      <w:pPr>
        <w:spacing w:line="360" w:lineRule="auto"/>
        <w:ind w:firstLine="420"/>
        <w:rPr>
          <w:rFonts w:ascii="宋体" w:hAnsi="宋体"/>
          <w:szCs w:val="21"/>
        </w:rPr>
      </w:pPr>
      <w:r>
        <w:rPr>
          <w:rFonts w:hint="eastAsia" w:ascii="宋体" w:hAnsi="宋体"/>
          <w:szCs w:val="21"/>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pPr>
        <w:spacing w:line="360" w:lineRule="auto"/>
        <w:ind w:firstLine="420"/>
        <w:rPr>
          <w:rFonts w:ascii="宋体" w:hAnsi="宋体"/>
          <w:szCs w:val="21"/>
        </w:rPr>
      </w:pPr>
      <w:r>
        <w:rPr>
          <w:rFonts w:hint="eastAsia" w:ascii="宋体" w:hAnsi="宋体"/>
          <w:szCs w:val="21"/>
        </w:rPr>
        <w:t>(3)临时基金托管人：新任基金托管人产生之前，由中国证监会指定临时基金托管人；</w:t>
      </w:r>
    </w:p>
    <w:p>
      <w:pPr>
        <w:spacing w:line="360" w:lineRule="auto"/>
        <w:ind w:firstLine="420"/>
        <w:rPr>
          <w:rFonts w:ascii="宋体" w:hAnsi="宋体"/>
          <w:szCs w:val="21"/>
        </w:rPr>
      </w:pPr>
      <w:r>
        <w:rPr>
          <w:rFonts w:hint="eastAsia" w:ascii="宋体" w:hAnsi="宋体"/>
          <w:szCs w:val="21"/>
        </w:rPr>
        <w:t>(4)备案：基金份额持有人大会更换基金托管人的决议须报中国证监会备案；</w:t>
      </w:r>
    </w:p>
    <w:p>
      <w:pPr>
        <w:spacing w:line="360" w:lineRule="auto"/>
        <w:ind w:firstLine="420"/>
        <w:rPr>
          <w:rFonts w:ascii="宋体" w:hAnsi="宋体"/>
          <w:szCs w:val="21"/>
        </w:rPr>
      </w:pPr>
      <w:r>
        <w:rPr>
          <w:rFonts w:hint="eastAsia" w:ascii="宋体" w:hAnsi="宋体"/>
          <w:szCs w:val="21"/>
        </w:rPr>
        <w:t>(5)公告：基金托管人更换后，由基金管理人在更换基金托管人的基金份额持有人大会决议生效后按规定在规定媒介公告；</w:t>
      </w:r>
    </w:p>
    <w:p>
      <w:pPr>
        <w:spacing w:line="360" w:lineRule="auto"/>
        <w:ind w:firstLine="420"/>
        <w:rPr>
          <w:rFonts w:ascii="宋体" w:hAnsi="宋体"/>
          <w:szCs w:val="21"/>
        </w:rPr>
      </w:pPr>
      <w:r>
        <w:rPr>
          <w:rFonts w:hint="eastAsia" w:ascii="宋体" w:hAnsi="宋体"/>
          <w:szCs w:val="21"/>
        </w:rPr>
        <w:t>(6)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p>
    <w:p>
      <w:pPr>
        <w:spacing w:line="360" w:lineRule="auto"/>
        <w:ind w:firstLine="420"/>
        <w:rPr>
          <w:rFonts w:ascii="宋体" w:hAnsi="宋体"/>
          <w:szCs w:val="21"/>
        </w:rPr>
      </w:pPr>
      <w:r>
        <w:rPr>
          <w:rFonts w:hint="eastAsia" w:ascii="宋体" w:hAnsi="宋体"/>
          <w:szCs w:val="21"/>
        </w:rPr>
        <w:t>(7)审计：基金托管人职责终止的，应当按照法律法规规定聘请会计师事务所对基金财产进行审计，并将审计结果予以公告，同时报中国证监会备案，审计费用由基金财产承担。</w:t>
      </w:r>
    </w:p>
    <w:p>
      <w:pPr>
        <w:spacing w:line="360" w:lineRule="auto"/>
        <w:ind w:firstLine="420"/>
        <w:rPr>
          <w:rFonts w:ascii="宋体" w:hAnsi="宋体"/>
          <w:szCs w:val="21"/>
        </w:rPr>
      </w:pPr>
      <w:r>
        <w:rPr>
          <w:rFonts w:hint="eastAsia" w:ascii="宋体" w:hAnsi="宋体"/>
          <w:szCs w:val="21"/>
        </w:rPr>
        <w:t>（三）基金管理人与基金托管人同时更换的条件和程序</w:t>
      </w:r>
    </w:p>
    <w:p>
      <w:pPr>
        <w:spacing w:line="360" w:lineRule="auto"/>
        <w:ind w:firstLine="420"/>
        <w:rPr>
          <w:rFonts w:ascii="宋体" w:hAnsi="宋体"/>
          <w:szCs w:val="21"/>
        </w:rPr>
      </w:pPr>
      <w:r>
        <w:rPr>
          <w:rFonts w:hint="eastAsia" w:ascii="宋体" w:hAnsi="宋体"/>
          <w:szCs w:val="21"/>
        </w:rPr>
        <w:t>1.提名：如果基金管理人和基金托管人同时更换，由单独或合计持有基金总份额10%以上(含10%)的基金份额持有人提名新的基金管理人和基金托管人；</w:t>
      </w:r>
    </w:p>
    <w:p>
      <w:pPr>
        <w:spacing w:line="360" w:lineRule="auto"/>
        <w:ind w:firstLine="420"/>
        <w:rPr>
          <w:rFonts w:ascii="宋体" w:hAnsi="宋体"/>
          <w:szCs w:val="21"/>
        </w:rPr>
      </w:pPr>
      <w:r>
        <w:rPr>
          <w:rFonts w:hint="eastAsia" w:ascii="宋体" w:hAnsi="宋体"/>
          <w:szCs w:val="21"/>
        </w:rPr>
        <w:t>2.基金管理人和基金托管人的更换分别按上述程序进行；</w:t>
      </w:r>
    </w:p>
    <w:p>
      <w:pPr>
        <w:spacing w:line="360" w:lineRule="auto"/>
        <w:ind w:firstLine="420"/>
        <w:rPr>
          <w:rFonts w:ascii="宋体" w:hAnsi="宋体"/>
          <w:szCs w:val="21"/>
        </w:rPr>
      </w:pPr>
      <w:r>
        <w:rPr>
          <w:rFonts w:hint="eastAsia" w:ascii="宋体" w:hAnsi="宋体"/>
          <w:szCs w:val="21"/>
        </w:rPr>
        <w:t>3.公告：新任基金管理人和新任基金托管人应在更换基金管理人和基金托管人的基金份额持有人大会决议生效后按规定在规定媒介上联合公告。</w:t>
      </w:r>
    </w:p>
    <w:p>
      <w:pPr>
        <w:spacing w:line="360" w:lineRule="auto"/>
        <w:ind w:firstLine="420"/>
        <w:rPr>
          <w:rFonts w:ascii="宋体" w:hAnsi="宋体"/>
          <w:szCs w:val="21"/>
        </w:rPr>
      </w:pPr>
      <w:r>
        <w:rPr>
          <w:rFonts w:hint="eastAsia" w:ascii="宋体" w:hAnsi="宋体"/>
          <w:szCs w:val="21"/>
        </w:rPr>
        <w:t>（四）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或基金托管费。</w:t>
      </w:r>
    </w:p>
    <w:bookmarkEnd w:id="135"/>
    <w:p>
      <w:pPr>
        <w:adjustRightInd w:val="0"/>
        <w:snapToGrid w:val="0"/>
        <w:spacing w:line="360" w:lineRule="auto"/>
        <w:outlineLvl w:val="2"/>
        <w:rPr>
          <w:rFonts w:ascii="宋体" w:hAnsi="宋体"/>
          <w:kern w:val="0"/>
        </w:rPr>
        <w:sectPr>
          <w:footerReference r:id="rId20" w:type="default"/>
          <w:pgSz w:w="11906" w:h="16838"/>
          <w:pgMar w:top="1418" w:right="1701" w:bottom="1418" w:left="1701" w:header="851" w:footer="992" w:gutter="0"/>
          <w:pgNumType w:fmt="decimal"/>
          <w:cols w:space="425" w:num="1"/>
          <w:docGrid w:type="lines" w:linePitch="312" w:charSpace="0"/>
        </w:sectPr>
      </w:pPr>
    </w:p>
    <w:p>
      <w:pPr>
        <w:pStyle w:val="4"/>
        <w:spacing w:before="312" w:beforeLines="100" w:after="156" w:afterLines="50" w:line="360" w:lineRule="auto"/>
        <w:jc w:val="center"/>
        <w:rPr>
          <w:rFonts w:ascii="宋体" w:hAnsi="宋体" w:eastAsia="宋体"/>
          <w:sz w:val="21"/>
          <w:szCs w:val="21"/>
        </w:rPr>
      </w:pPr>
      <w:bookmarkStart w:id="138" w:name="_Toc348082043"/>
      <w:bookmarkStart w:id="139" w:name="CLAUSE_92e7b045d2fa44ffb72b680180eb7f9e"/>
      <w:r>
        <w:t xml:space="preserve"> </w:t>
      </w:r>
      <w:bookmarkStart w:id="140" w:name="CTS_92e7b045d2fa44ffb72b680180eb7f9e"/>
      <w:bookmarkEnd w:id="140"/>
      <w:bookmarkStart w:id="141" w:name="_Toc17469"/>
      <w:r>
        <w:rPr>
          <w:rFonts w:hint="eastAsia" w:ascii="宋体" w:hAnsi="宋体" w:eastAsia="宋体"/>
          <w:sz w:val="21"/>
          <w:szCs w:val="21"/>
        </w:rPr>
        <w:t>十五、禁止行为</w:t>
      </w:r>
      <w:bookmarkEnd w:id="138"/>
      <w:bookmarkEnd w:id="141"/>
    </w:p>
    <w:p>
      <w:pPr>
        <w:spacing w:line="360" w:lineRule="auto"/>
        <w:ind w:firstLine="420" w:firstLineChars="200"/>
        <w:rPr>
          <w:rFonts w:ascii="宋体" w:hAnsi="宋体" w:cs="Arial"/>
          <w:szCs w:val="21"/>
        </w:rPr>
      </w:pPr>
      <w:r>
        <w:rPr>
          <w:rFonts w:hint="eastAsia" w:ascii="宋体" w:hAnsi="宋体" w:cs="Arial"/>
          <w:szCs w:val="21"/>
        </w:rPr>
        <w:t>本协议当事人禁止从事的行为，包括但不限于：</w:t>
      </w:r>
    </w:p>
    <w:p>
      <w:pPr>
        <w:spacing w:line="360" w:lineRule="auto"/>
        <w:ind w:firstLine="420" w:firstLineChars="200"/>
        <w:rPr>
          <w:rFonts w:ascii="宋体" w:hAnsi="宋体" w:cs="Arial"/>
          <w:szCs w:val="21"/>
        </w:rPr>
      </w:pPr>
      <w:r>
        <w:rPr>
          <w:rFonts w:hint="eastAsia" w:ascii="宋体" w:hAnsi="宋体" w:cs="Arial"/>
          <w:szCs w:val="21"/>
        </w:rPr>
        <w:t>（一）基金管理人、基金托管人将其固有财产或者他人财产混同于基金财产从事证券投资。</w:t>
      </w:r>
    </w:p>
    <w:p>
      <w:pPr>
        <w:spacing w:line="360" w:lineRule="auto"/>
        <w:ind w:firstLine="420" w:firstLineChars="200"/>
        <w:rPr>
          <w:rFonts w:ascii="宋体" w:hAnsi="宋体" w:cs="Arial"/>
          <w:szCs w:val="21"/>
        </w:rPr>
      </w:pPr>
      <w:r>
        <w:rPr>
          <w:rFonts w:hint="eastAsia" w:ascii="宋体" w:hAnsi="宋体" w:cs="Arial"/>
          <w:szCs w:val="21"/>
        </w:rPr>
        <w:t>（二）基金管理人不公平地对待其管理的不同基金财产，基金托管人不公平地对待其托管的不同基金财产。</w:t>
      </w:r>
    </w:p>
    <w:p>
      <w:pPr>
        <w:spacing w:line="360" w:lineRule="auto"/>
        <w:ind w:firstLine="420" w:firstLineChars="200"/>
        <w:rPr>
          <w:rFonts w:ascii="宋体" w:hAnsi="宋体" w:cs="Arial"/>
          <w:szCs w:val="21"/>
        </w:rPr>
      </w:pPr>
      <w:r>
        <w:rPr>
          <w:rFonts w:hint="eastAsia" w:ascii="宋体" w:hAnsi="宋体" w:cs="Arial"/>
          <w:szCs w:val="21"/>
        </w:rPr>
        <w:t>（三）基金管理人、基金托管人利用基金财产或职务之便为基金份额持有人以外的第三人牟取利益。</w:t>
      </w:r>
    </w:p>
    <w:p>
      <w:pPr>
        <w:spacing w:line="360" w:lineRule="auto"/>
        <w:ind w:firstLine="420" w:firstLineChars="200"/>
        <w:rPr>
          <w:rFonts w:ascii="宋体" w:hAnsi="宋体" w:cs="Arial"/>
          <w:szCs w:val="21"/>
        </w:rPr>
      </w:pPr>
      <w:r>
        <w:rPr>
          <w:rFonts w:hint="eastAsia" w:ascii="宋体" w:hAnsi="宋体" w:cs="Arial"/>
          <w:szCs w:val="21"/>
        </w:rPr>
        <w:t>（四）基金管理人、基金托管人向基金份额持有人违规承诺收益或者承担损失。</w:t>
      </w:r>
    </w:p>
    <w:p>
      <w:pPr>
        <w:spacing w:line="360" w:lineRule="auto"/>
        <w:ind w:firstLine="420" w:firstLineChars="200"/>
        <w:rPr>
          <w:rFonts w:ascii="宋体" w:hAnsi="宋体" w:cs="Arial"/>
          <w:szCs w:val="21"/>
        </w:rPr>
      </w:pPr>
      <w:r>
        <w:rPr>
          <w:rFonts w:hint="eastAsia" w:ascii="宋体" w:hAnsi="宋体" w:cs="Arial"/>
          <w:szCs w:val="21"/>
        </w:rPr>
        <w:t>（五）基金管理人、基金托管人对他人泄露基金运作和管理过程中任何尚未按法律法规规定的方式公开披露的信息。</w:t>
      </w:r>
    </w:p>
    <w:p>
      <w:pPr>
        <w:spacing w:line="360" w:lineRule="auto"/>
        <w:ind w:firstLine="420" w:firstLineChars="200"/>
        <w:rPr>
          <w:rFonts w:ascii="宋体" w:hAnsi="宋体" w:cs="Arial"/>
          <w:szCs w:val="21"/>
        </w:rPr>
      </w:pPr>
      <w:r>
        <w:rPr>
          <w:rFonts w:hint="eastAsia" w:ascii="宋体" w:hAnsi="宋体" w:cs="Arial"/>
          <w:szCs w:val="21"/>
        </w:rPr>
        <w:t>（六）基金管理人在没有充足资金的情况下向基金托管人发出投资指令和赎回、分红资金的划拨指令，或违规向基金托管人发出指令。</w:t>
      </w:r>
    </w:p>
    <w:p>
      <w:pPr>
        <w:spacing w:line="360" w:lineRule="auto"/>
        <w:ind w:firstLine="420" w:firstLineChars="200"/>
        <w:rPr>
          <w:rFonts w:ascii="宋体" w:hAnsi="宋体" w:cs="Arial"/>
          <w:szCs w:val="21"/>
        </w:rPr>
      </w:pPr>
      <w:r>
        <w:rPr>
          <w:rFonts w:hint="eastAsia" w:ascii="宋体" w:hAnsi="宋体" w:cs="Arial"/>
          <w:szCs w:val="21"/>
        </w:rPr>
        <w:t>（七）基金管理人、基金托管人在行政上、财务上不独立, 其高级管理人员和其他从业人员相互兼职。</w:t>
      </w:r>
    </w:p>
    <w:p>
      <w:pPr>
        <w:spacing w:line="360" w:lineRule="auto"/>
        <w:ind w:firstLine="420" w:firstLineChars="200"/>
        <w:rPr>
          <w:rFonts w:ascii="宋体" w:hAnsi="宋体" w:cs="Arial"/>
          <w:szCs w:val="21"/>
        </w:rPr>
      </w:pPr>
      <w:r>
        <w:rPr>
          <w:rFonts w:hint="eastAsia" w:ascii="宋体" w:hAnsi="宋体" w:cs="Arial"/>
          <w:szCs w:val="21"/>
        </w:rPr>
        <w:t>（八）基金托管人私自动用或处分基金财产，根据基金管理人的合法指令、《基金合同》或托管协议的规定进行处分的除外。</w:t>
      </w:r>
    </w:p>
    <w:p>
      <w:pPr>
        <w:spacing w:line="360" w:lineRule="auto"/>
        <w:ind w:firstLine="420" w:firstLineChars="200"/>
        <w:rPr>
          <w:rFonts w:ascii="宋体" w:hAnsi="宋体" w:cs="Arial"/>
          <w:szCs w:val="21"/>
        </w:rPr>
      </w:pPr>
      <w:r>
        <w:rPr>
          <w:rFonts w:hint="eastAsia" w:ascii="宋体" w:hAnsi="宋体" w:cs="Arial"/>
          <w:szCs w:val="21"/>
        </w:rPr>
        <w:t>（九）基金财产用于下列投资或者活动：1.承销证券；2.违反规定向他人贷款或者提供担保；3.从事承担无限责任的投资；4.买卖除目标ETF外的其他基金份额，但是中国证监会另有规定的除外；5.向其基金管理人、基金托管人出资；6.从事内幕交易、操纵证券交易价格及其他不正当的证券交易活动；7.法律、行政法规和中国证监会规定禁止的其他活动。法律、行政法规或监管部门取消或变更上述限制，如适用于本基金，基金管理人在履行适当程序后，则本基金投资不再受相关限制或按照变更后的规定执行。</w:t>
      </w:r>
    </w:p>
    <w:p>
      <w:pPr>
        <w:spacing w:line="360" w:lineRule="auto"/>
        <w:ind w:firstLine="420" w:firstLineChars="200"/>
        <w:rPr>
          <w:rFonts w:ascii="宋体" w:hAnsi="宋体"/>
          <w:szCs w:val="21"/>
        </w:rPr>
      </w:pPr>
      <w:r>
        <w:rPr>
          <w:rFonts w:hint="eastAsia" w:ascii="宋体" w:hAnsi="宋体" w:cs="Arial"/>
          <w:szCs w:val="21"/>
        </w:rPr>
        <w:t>（十）法律法规和《基金合同》禁止的其他行为，以及依照法律、行政法规有关规定，由中国证监会规定禁止基金管理人、基金托管人从事的其他行为</w:t>
      </w:r>
      <w:r>
        <w:rPr>
          <w:rFonts w:hint="eastAsia" w:ascii="宋体" w:hAnsi="宋体"/>
          <w:szCs w:val="21"/>
        </w:rPr>
        <w:t>。</w:t>
      </w:r>
    </w:p>
    <w:bookmarkEnd w:id="139"/>
    <w:p>
      <w:pPr>
        <w:spacing w:line="360" w:lineRule="auto"/>
        <w:ind w:firstLine="420" w:firstLineChars="200"/>
        <w:rPr>
          <w:rFonts w:ascii="宋体" w:hAnsi="宋体"/>
        </w:rPr>
        <w:sectPr>
          <w:footerReference r:id="rId21" w:type="default"/>
          <w:pgSz w:w="11906" w:h="16838"/>
          <w:pgMar w:top="1418" w:right="1701" w:bottom="1418" w:left="1701" w:header="851" w:footer="992" w:gutter="0"/>
          <w:pgNumType w:fmt="decimal"/>
          <w:cols w:space="425" w:num="1"/>
          <w:docGrid w:type="lines" w:linePitch="312" w:charSpace="0"/>
        </w:sectPr>
      </w:pPr>
    </w:p>
    <w:p>
      <w:pPr>
        <w:pStyle w:val="4"/>
        <w:spacing w:before="312" w:beforeLines="100" w:after="156" w:afterLines="50" w:line="360" w:lineRule="auto"/>
        <w:jc w:val="center"/>
        <w:rPr>
          <w:rFonts w:ascii="宋体" w:hAnsi="宋体" w:eastAsia="宋体"/>
          <w:sz w:val="21"/>
          <w:szCs w:val="21"/>
        </w:rPr>
      </w:pPr>
      <w:bookmarkStart w:id="142" w:name="_Toc348082044"/>
      <w:bookmarkStart w:id="143" w:name="CLAUSE_867682e0289c418ca59a8072b25289f6"/>
      <w:r>
        <w:t xml:space="preserve"> </w:t>
      </w:r>
      <w:bookmarkStart w:id="144" w:name="CTS_867682e0289c418ca59a8072b25289f6"/>
      <w:bookmarkEnd w:id="144"/>
      <w:bookmarkStart w:id="145" w:name="_Toc12515"/>
      <w:r>
        <w:rPr>
          <w:rFonts w:hint="eastAsia" w:ascii="宋体" w:hAnsi="宋体" w:eastAsia="宋体"/>
          <w:sz w:val="21"/>
          <w:szCs w:val="21"/>
        </w:rPr>
        <w:t>十六、托管协议的变更、终止与基金财产的清算</w:t>
      </w:r>
      <w:bookmarkEnd w:id="142"/>
      <w:bookmarkEnd w:id="145"/>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（一）托管协议的变更程序</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本协议双方当事人经协商一致并履行适当程序后，可以对协议进行修改。修改后的新协议，其内容不得与《基金合同》的规定有任何冲突。</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（二）托管协议终止的情形</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1.《基金合同》终止；</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2.基金托管人解散、依法被撤销、破产或由其他基金托管人接管基金资产；</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3.基金管理人解散、依法被撤销、破产或由其他基金管理人接管基金管理权；</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4.发生法律法规或《基金合同》规定的终止事项。</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（三）基金财产的清算</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1、基金财产清算小组：自出现《基金合同》终止事由之日起30个工作日内成立基金财产清算小组，基金管理人组织基金财产清算小组并在中国证监会的监督下进行基金清算。</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2、在基金财产清算小组接管基金财产之前，基金管理人和基金托管人应按照《基金合同》和托管协议的规定继续履行保护基金财产安全的职责。</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基金财产清算小组组成：基金财产清算小组成员由基金管理人、基金托管人、符合《中华人民共和国证券法》规定的注册会计师、律师以及中国证监会指定的人员组成。基金财产清算小组可以聘用必要的工作人员。</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4、基金财产清算小组职责：基金财产清算小组负责基金财产的保管、清理、估价、变现和分配。基金财产清算小组可以依法进行必要的民事活动。</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5、在基金财产清算过程中，基金管理人和基金托管人应各自履行职责，继续忠实、勤勉、尽责地履行基金合同和托管协议规定的义务，维护基金份额持有人的合法权益。</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6、基金财产清算程序：</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（1）《基金合同》终止情形出现时，由基金财产清算小组统一接管基金财产；</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（2）对基金财产和债权债务进行清理和确认；</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（3）对基金财产进行估值和变现；</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（4）制作清算报告；</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（5）聘请会计师事务所对清算报告进行外部审计，聘请律师事务所对清算报告出具法律意见书；</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（6）将清算报告报中国证监会备案并公告；</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（7）对基金剩余财产进行分配。</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7、基金财产清算的期限为6个月，但因本基金所持证券的流动性受到限制而不能及时变现的，清算期限相应顺延。</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8.清算费用</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清算费用是指基金财产清算小组在进行基金财产清算过程中发生的所有合理费用，清算费用由基金财产清算小组优先从基金剩余财产中支付。</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9.基金财产清算剩余资产的分配</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依据基金财产清算的分配方案，将基金财产清算后的全部剩余资产扣除基金财产清算费用、交纳所欠税款并清偿基金债务后，按基金份额持有人持有的各类基金份额比例进行分配。</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10.基金财产清算的公告</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11.基金财产清算账册及文件的保存</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基金财产清算账册及有关文件由基金托管人保存，保存期限不低于法律法规规定的最低期限</w:t>
      </w:r>
      <w:r>
        <w:rPr>
          <w:rFonts w:hint="eastAsia"/>
          <w:szCs w:val="21"/>
        </w:rPr>
        <w:t>。</w:t>
      </w:r>
    </w:p>
    <w:p>
      <w:pPr>
        <w:adjustRightInd w:val="0"/>
        <w:snapToGrid w:val="0"/>
        <w:spacing w:line="360" w:lineRule="auto"/>
        <w:rPr>
          <w:rFonts w:ascii="宋体" w:hAnsi="宋体" w:cs="Arial"/>
          <w:szCs w:val="21"/>
        </w:rPr>
      </w:pPr>
    </w:p>
    <w:bookmarkEnd w:id="143"/>
    <w:p>
      <w:pPr>
        <w:adjustRightInd w:val="0"/>
        <w:snapToGrid w:val="0"/>
        <w:spacing w:line="360" w:lineRule="auto"/>
        <w:ind w:firstLine="420" w:firstLineChars="200"/>
        <w:sectPr>
          <w:footerReference r:id="rId22" w:type="default"/>
          <w:pgSz w:w="11906" w:h="16838"/>
          <w:pgMar w:top="1418" w:right="1701" w:bottom="1418" w:left="1701" w:header="851" w:footer="992" w:gutter="0"/>
          <w:pgNumType w:fmt="decimal"/>
          <w:cols w:space="425" w:num="1"/>
          <w:docGrid w:type="lines" w:linePitch="312" w:charSpace="0"/>
        </w:sectPr>
      </w:pPr>
    </w:p>
    <w:p>
      <w:pPr>
        <w:pStyle w:val="4"/>
        <w:spacing w:before="312" w:beforeLines="100" w:after="156" w:afterLines="50" w:line="360" w:lineRule="auto"/>
        <w:jc w:val="center"/>
        <w:rPr>
          <w:rFonts w:ascii="宋体" w:hAnsi="宋体" w:eastAsia="宋体"/>
          <w:sz w:val="21"/>
          <w:szCs w:val="21"/>
        </w:rPr>
      </w:pPr>
      <w:bookmarkStart w:id="146" w:name="_Toc348082045"/>
      <w:bookmarkStart w:id="147" w:name="CLAUSE_fb452c74d6c64197b1cbf979c3d17afe"/>
      <w:r>
        <w:t xml:space="preserve"> </w:t>
      </w:r>
      <w:bookmarkStart w:id="148" w:name="CTS_fb452c74d6c64197b1cbf979c3d17afe"/>
      <w:bookmarkEnd w:id="148"/>
      <w:bookmarkStart w:id="149" w:name="_Toc16173"/>
      <w:r>
        <w:rPr>
          <w:rFonts w:hint="eastAsia" w:ascii="宋体" w:hAnsi="宋体" w:eastAsia="宋体"/>
          <w:sz w:val="21"/>
          <w:szCs w:val="21"/>
        </w:rPr>
        <w:t>十七、违约责任</w:t>
      </w:r>
      <w:bookmarkEnd w:id="146"/>
      <w:bookmarkEnd w:id="149"/>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（一）基金管理人、基金托管人不履行本协议或履行本协议不符合约定的，应当承担违约责任。</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1.不可抗力；</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2.基金管理人和/或基金托管人按照当时有效的法律法规、规章或中国证监会的规定作为或不作为而造成的损失等；</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3.在没有过错的情况下，基金管理人由于按照《基金合同》规定的投资原则行使或不行使其投资权而造成的损失等。</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（五）违约行为虽已发生，但本托管协议能够继续履行的，在最大限度地保护基金份额持有人利益的前提下，基金管理人和基金托管人应当继续履行本协议。</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pPr>
        <w:adjustRightInd w:val="0"/>
        <w:snapToGrid w:val="0"/>
        <w:spacing w:line="360" w:lineRule="auto"/>
        <w:ind w:firstLine="422" w:firstLineChars="200"/>
        <w:rPr>
          <w:rFonts w:ascii="宋体" w:hAnsi="宋体"/>
          <w:b/>
          <w:szCs w:val="21"/>
        </w:rPr>
      </w:pPr>
    </w:p>
    <w:p>
      <w:pPr>
        <w:adjustRightInd w:val="0"/>
        <w:snapToGrid w:val="0"/>
        <w:spacing w:line="360" w:lineRule="auto"/>
        <w:ind w:firstLine="420" w:firstLineChars="200"/>
        <w:rPr>
          <w:rFonts w:ascii="宋体" w:hAnsi="宋体" w:cs="Arial"/>
          <w:szCs w:val="21"/>
        </w:rPr>
      </w:pPr>
    </w:p>
    <w:p>
      <w:pPr>
        <w:adjustRightInd w:val="0"/>
        <w:snapToGrid w:val="0"/>
        <w:spacing w:line="360" w:lineRule="auto"/>
        <w:ind w:firstLine="420" w:firstLineChars="200"/>
        <w:rPr>
          <w:rFonts w:ascii="宋体" w:hAnsi="宋体" w:cs="Arial"/>
          <w:szCs w:val="21"/>
        </w:rPr>
      </w:pPr>
    </w:p>
    <w:bookmarkEnd w:id="147"/>
    <w:p>
      <w:pPr>
        <w:adjustRightInd w:val="0"/>
        <w:snapToGrid w:val="0"/>
        <w:spacing w:line="360" w:lineRule="auto"/>
        <w:ind w:firstLine="420" w:firstLineChars="200"/>
        <w:rPr>
          <w:rFonts w:ascii="宋体" w:hAnsi="宋体" w:cs="Arial"/>
          <w:szCs w:val="21"/>
        </w:rPr>
        <w:sectPr>
          <w:footerReference r:id="rId23" w:type="default"/>
          <w:pgSz w:w="11906" w:h="16838"/>
          <w:pgMar w:top="1418" w:right="1701" w:bottom="1418" w:left="1701" w:header="851" w:footer="992" w:gutter="0"/>
          <w:pgNumType w:fmt="decimal"/>
          <w:cols w:space="425" w:num="1"/>
          <w:docGrid w:type="lines" w:linePitch="312" w:charSpace="0"/>
        </w:sectPr>
      </w:pPr>
    </w:p>
    <w:p>
      <w:pPr>
        <w:pStyle w:val="4"/>
        <w:spacing w:before="312" w:beforeLines="100" w:after="156" w:afterLines="50" w:line="360" w:lineRule="auto"/>
        <w:jc w:val="center"/>
        <w:rPr>
          <w:rFonts w:ascii="宋体" w:hAnsi="宋体" w:eastAsia="宋体"/>
          <w:sz w:val="21"/>
          <w:szCs w:val="21"/>
        </w:rPr>
      </w:pPr>
      <w:bookmarkStart w:id="150" w:name="_Toc348082046"/>
      <w:bookmarkStart w:id="151" w:name="CLAUSE_fc4bdcce24ef4134b63dee0f61e49ce5"/>
      <w:r>
        <w:t xml:space="preserve"> </w:t>
      </w:r>
      <w:bookmarkStart w:id="152" w:name="CTS_fc4bdcce24ef4134b63dee0f61e49ce5"/>
      <w:bookmarkEnd w:id="152"/>
      <w:bookmarkStart w:id="153" w:name="_Toc21325"/>
      <w:r>
        <w:rPr>
          <w:rFonts w:hint="eastAsia" w:ascii="宋体" w:hAnsi="宋体" w:eastAsia="宋体"/>
          <w:sz w:val="21"/>
          <w:szCs w:val="21"/>
        </w:rPr>
        <w:t>十八、争议解决方式</w:t>
      </w:r>
      <w:bookmarkEnd w:id="150"/>
      <w:bookmarkEnd w:id="153"/>
    </w:p>
    <w:p>
      <w:pPr>
        <w:adjustRightInd w:val="0"/>
        <w:snapToGrid w:val="0"/>
        <w:spacing w:line="360" w:lineRule="auto"/>
        <w:ind w:firstLine="422" w:firstLineChars="200"/>
        <w:rPr>
          <w:rFonts w:ascii="宋体" w:hAnsi="宋体" w:cs="Arial"/>
          <w:b/>
          <w:i/>
          <w:szCs w:val="21"/>
        </w:rPr>
      </w:pPr>
      <w:r>
        <w:rPr>
          <w:rFonts w:hint="eastAsia" w:ascii="宋体" w:hAnsi="宋体" w:cs="Arial"/>
          <w:b/>
          <w:i/>
          <w:szCs w:val="21"/>
        </w:rPr>
        <w:t>因本协议产生或与之相关的争议，双方当事人应通过协商、调解解决，协商、调解不能解决的，应将争议提交中国国际经济贸易仲裁委员会，仲裁地点为北京市，按照中国国际经济贸易仲裁委员会届时有效的仲裁规则进行仲裁。仲裁裁决是终局的，对双方当事人均有约束力。除裁决另有规定的，仲裁费用由败诉方承担。</w:t>
      </w:r>
    </w:p>
    <w:p>
      <w:pPr>
        <w:adjustRightInd w:val="0"/>
        <w:snapToGrid w:val="0"/>
        <w:spacing w:line="360" w:lineRule="auto"/>
        <w:ind w:firstLine="422" w:firstLineChars="200"/>
        <w:rPr>
          <w:rFonts w:ascii="宋体" w:hAnsi="宋体" w:cs="Arial"/>
          <w:b/>
          <w:i/>
          <w:szCs w:val="21"/>
        </w:rPr>
      </w:pPr>
      <w:r>
        <w:rPr>
          <w:rFonts w:hint="eastAsia" w:ascii="宋体" w:hAnsi="宋体" w:cs="Arial"/>
          <w:b/>
          <w:i/>
          <w:szCs w:val="21"/>
        </w:rPr>
        <w:t>争议处理期间，双方当事人应恪守基金管理人和基金托管人职责，各自继续忠实、勤勉、尽责地履行《基金合同》和本托管协议规定的义务，维护基金份额持有人的合法权益。</w:t>
      </w:r>
    </w:p>
    <w:p>
      <w:pPr>
        <w:adjustRightInd w:val="0"/>
        <w:snapToGrid w:val="0"/>
        <w:spacing w:line="360" w:lineRule="auto"/>
        <w:ind w:firstLine="422" w:firstLineChars="200"/>
        <w:rPr>
          <w:rFonts w:ascii="宋体" w:hAnsi="宋体" w:cs="Arial"/>
          <w:b/>
          <w:i/>
          <w:szCs w:val="21"/>
        </w:rPr>
      </w:pPr>
      <w:r>
        <w:rPr>
          <w:rFonts w:hint="eastAsia" w:ascii="宋体" w:hAnsi="宋体" w:cs="Arial"/>
          <w:b/>
          <w:i/>
          <w:szCs w:val="21"/>
        </w:rPr>
        <w:t>本协议受中国法律（为本协议之目的，不包括香港特别行政区、澳门特别行政区和台湾地区法律）管辖并按其解释。</w:t>
      </w:r>
    </w:p>
    <w:p>
      <w:pPr>
        <w:adjustRightInd w:val="0"/>
        <w:snapToGrid w:val="0"/>
        <w:spacing w:line="360" w:lineRule="auto"/>
        <w:rPr>
          <w:rFonts w:ascii="宋体" w:hAnsi="宋体" w:cs="Arial"/>
          <w:szCs w:val="21"/>
        </w:rPr>
      </w:pPr>
    </w:p>
    <w:bookmarkEnd w:id="151"/>
    <w:p>
      <w:pPr>
        <w:adjustRightInd w:val="0"/>
        <w:snapToGrid w:val="0"/>
        <w:spacing w:line="360" w:lineRule="auto"/>
        <w:ind w:firstLine="420" w:firstLineChars="200"/>
        <w:rPr>
          <w:rFonts w:ascii="宋体" w:hAnsi="宋体"/>
        </w:rPr>
        <w:sectPr>
          <w:footerReference r:id="rId24" w:type="default"/>
          <w:pgSz w:w="11906" w:h="16838"/>
          <w:pgMar w:top="1418" w:right="1701" w:bottom="1418" w:left="1701" w:header="851" w:footer="992" w:gutter="0"/>
          <w:pgNumType w:fmt="decimal"/>
          <w:cols w:space="425" w:num="1"/>
          <w:docGrid w:type="lines" w:linePitch="312" w:charSpace="0"/>
        </w:sectPr>
      </w:pPr>
    </w:p>
    <w:p>
      <w:pPr>
        <w:pStyle w:val="4"/>
        <w:spacing w:before="312" w:beforeLines="100" w:after="156" w:afterLines="50" w:line="360" w:lineRule="auto"/>
        <w:jc w:val="center"/>
        <w:rPr>
          <w:rFonts w:ascii="宋体" w:hAnsi="宋体" w:eastAsia="宋体"/>
          <w:sz w:val="21"/>
          <w:szCs w:val="21"/>
        </w:rPr>
      </w:pPr>
      <w:bookmarkStart w:id="154" w:name="_Toc348082047"/>
      <w:bookmarkStart w:id="155" w:name="CLAUSE_01762509b4bb482c9abed22c9b029f19"/>
      <w:r>
        <w:t xml:space="preserve"> </w:t>
      </w:r>
      <w:bookmarkStart w:id="156" w:name="CTS_01762509b4bb482c9abed22c9b029f19"/>
      <w:bookmarkEnd w:id="156"/>
      <w:bookmarkStart w:id="157" w:name="_Toc26339"/>
      <w:r>
        <w:rPr>
          <w:rFonts w:hint="eastAsia" w:ascii="宋体" w:hAnsi="宋体" w:eastAsia="宋体"/>
          <w:sz w:val="21"/>
          <w:szCs w:val="21"/>
        </w:rPr>
        <w:t>十九、托管协议的效力</w:t>
      </w:r>
      <w:bookmarkEnd w:id="154"/>
      <w:bookmarkEnd w:id="157"/>
    </w:p>
    <w:p>
      <w:pPr>
        <w:adjustRightInd w:val="0"/>
        <w:snapToGrid w:val="0"/>
        <w:spacing w:line="360" w:lineRule="auto"/>
        <w:ind w:firstLine="420" w:firstLineChars="200"/>
        <w:rPr>
          <w:rFonts w:ascii="宋体" w:hAnsi="宋体" w:cs="Arial"/>
          <w:szCs w:val="21"/>
        </w:rPr>
      </w:pPr>
      <w:r>
        <w:rPr>
          <w:rFonts w:hint="eastAsia" w:ascii="宋体" w:hAnsi="宋体" w:cs="Arial"/>
          <w:szCs w:val="21"/>
        </w:rPr>
        <w:t>双方对托管协议的效力约定如下：</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（二）托管协议自《基金合同》成立之日起成立，自《基金合同》生效之日起生效。托管协议的有效期自其生效之日起至基金财产清算结果报中国证监会备案并公告之日止。</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（三）托管协议自生效之日起对托管协议当事人具有同等的法律约束力。</w:t>
      </w:r>
    </w:p>
    <w:p>
      <w:pPr>
        <w:adjustRightInd w:val="0"/>
        <w:snapToGrid w:val="0"/>
        <w:spacing w:line="360" w:lineRule="auto"/>
        <w:ind w:firstLine="420" w:firstLineChars="200"/>
        <w:rPr>
          <w:rFonts w:ascii="宋体" w:hAnsi="宋体"/>
          <w:szCs w:val="21"/>
        </w:rPr>
      </w:pPr>
      <w:r>
        <w:rPr>
          <w:rFonts w:hint="eastAsia" w:ascii="宋体" w:hAnsi="宋体" w:cs="Arial"/>
          <w:szCs w:val="21"/>
        </w:rPr>
        <w:t>（四）本协议一式三份，协议双方各持一份，上报监管机构一份，每份具有同等的法律效力。</w:t>
      </w:r>
    </w:p>
    <w:p>
      <w:pPr>
        <w:adjustRightInd w:val="0"/>
        <w:snapToGrid w:val="0"/>
        <w:spacing w:line="360" w:lineRule="auto"/>
        <w:rPr>
          <w:rFonts w:ascii="宋体" w:hAnsi="宋体" w:cs="Arial"/>
          <w:szCs w:val="21"/>
        </w:rPr>
      </w:pPr>
    </w:p>
    <w:bookmarkEnd w:id="155"/>
    <w:p>
      <w:pPr>
        <w:adjustRightInd w:val="0"/>
        <w:snapToGrid w:val="0"/>
        <w:spacing w:line="360" w:lineRule="auto"/>
        <w:ind w:firstLine="420" w:firstLineChars="200"/>
        <w:rPr>
          <w:rFonts w:ascii="宋体" w:hAnsi="宋体"/>
        </w:rPr>
        <w:sectPr>
          <w:footerReference r:id="rId25" w:type="default"/>
          <w:pgSz w:w="11906" w:h="16838"/>
          <w:pgMar w:top="1418" w:right="1701" w:bottom="1418" w:left="1701" w:header="851" w:footer="992" w:gutter="0"/>
          <w:pgNumType w:fmt="decimal"/>
          <w:cols w:space="425" w:num="1"/>
          <w:docGrid w:type="lines" w:linePitch="312" w:charSpace="0"/>
        </w:sectPr>
      </w:pPr>
    </w:p>
    <w:p>
      <w:pPr>
        <w:pStyle w:val="4"/>
        <w:spacing w:before="312" w:beforeLines="100" w:after="156" w:afterLines="50" w:line="360" w:lineRule="auto"/>
        <w:jc w:val="center"/>
        <w:rPr>
          <w:rFonts w:ascii="宋体" w:hAnsi="宋体" w:eastAsia="宋体"/>
          <w:sz w:val="21"/>
          <w:szCs w:val="21"/>
        </w:rPr>
      </w:pPr>
      <w:bookmarkStart w:id="158" w:name="_Toc348082048"/>
      <w:bookmarkStart w:id="159" w:name="CLAUSE_d3234b57ab234fe6ba4eab2431adff8a"/>
      <w:r>
        <w:t xml:space="preserve"> </w:t>
      </w:r>
      <w:bookmarkStart w:id="160" w:name="CTS_d3234b57ab234fe6ba4eab2431adff8a"/>
      <w:bookmarkEnd w:id="160"/>
      <w:bookmarkStart w:id="161" w:name="_Toc21875"/>
      <w:r>
        <w:rPr>
          <w:rFonts w:hint="eastAsia" w:ascii="宋体" w:hAnsi="宋体" w:eastAsia="宋体"/>
          <w:sz w:val="21"/>
          <w:szCs w:val="21"/>
        </w:rPr>
        <w:t>二十、其他事项</w:t>
      </w:r>
      <w:bookmarkEnd w:id="158"/>
      <w:bookmarkEnd w:id="161"/>
    </w:p>
    <w:p>
      <w:pPr>
        <w:adjustRightInd w:val="0"/>
        <w:snapToGrid w:val="0"/>
        <w:spacing w:line="360" w:lineRule="auto"/>
        <w:rPr>
          <w:rFonts w:ascii="宋体" w:hAnsi="宋体" w:cs="Arial"/>
          <w:szCs w:val="21"/>
        </w:rPr>
      </w:pPr>
      <w:r>
        <w:rPr>
          <w:rFonts w:hint="eastAsia" w:ascii="宋体" w:hAnsi="宋体" w:cs="Arial"/>
          <w:szCs w:val="21"/>
        </w:rPr>
        <w:t>如发生有权司法机关依法冻结基金份额持有人的基金份额时，基金管理人应予以配合，承担司法协助义务。</w:t>
      </w:r>
    </w:p>
    <w:p>
      <w:pPr>
        <w:adjustRightInd w:val="0"/>
        <w:snapToGrid w:val="0"/>
        <w:spacing w:line="360" w:lineRule="auto"/>
        <w:rPr>
          <w:rFonts w:ascii="宋体" w:hAnsi="宋体"/>
          <w:bCs/>
          <w:szCs w:val="21"/>
        </w:rPr>
      </w:pPr>
      <w:r>
        <w:rPr>
          <w:rFonts w:hint="eastAsia" w:ascii="宋体" w:hAnsi="宋体" w:cs="Arial"/>
          <w:szCs w:val="21"/>
        </w:rPr>
        <w:t>除本协议有明确定义外，本协议的用语定义适用《基金合同》的约定。本协议未尽事宜，当事人依据《基金合同》、有关法律法规等规定协商办理</w:t>
      </w:r>
      <w:r>
        <w:rPr>
          <w:rFonts w:hint="eastAsia" w:ascii="宋体" w:hAnsi="宋体"/>
          <w:bCs/>
          <w:szCs w:val="21"/>
        </w:rPr>
        <w:t>。</w:t>
      </w:r>
    </w:p>
    <w:bookmarkEnd w:id="159"/>
    <w:p>
      <w:pPr>
        <w:adjustRightInd w:val="0"/>
        <w:snapToGrid w:val="0"/>
        <w:spacing w:line="360" w:lineRule="auto"/>
        <w:rPr>
          <w:rFonts w:ascii="宋体" w:hAnsi="宋体"/>
        </w:rPr>
        <w:sectPr>
          <w:footerReference r:id="rId26" w:type="default"/>
          <w:pgSz w:w="11906" w:h="16838"/>
          <w:pgMar w:top="1418" w:right="1701" w:bottom="1418" w:left="1701" w:header="851" w:footer="992" w:gutter="0"/>
          <w:pgNumType w:fmt="decimal"/>
          <w:cols w:space="425" w:num="1"/>
          <w:docGrid w:type="lines" w:linePitch="312" w:charSpace="0"/>
        </w:sectPr>
      </w:pPr>
    </w:p>
    <w:p>
      <w:pPr>
        <w:pStyle w:val="4"/>
        <w:spacing w:before="312" w:beforeLines="100" w:after="156" w:afterLines="50" w:line="360" w:lineRule="auto"/>
        <w:jc w:val="center"/>
        <w:rPr>
          <w:rFonts w:ascii="宋体" w:hAnsi="宋体" w:eastAsia="宋体"/>
          <w:sz w:val="21"/>
          <w:szCs w:val="21"/>
        </w:rPr>
      </w:pPr>
      <w:bookmarkStart w:id="162" w:name="_Toc348082049"/>
      <w:bookmarkStart w:id="163" w:name="CLAUSE_58f3ae1859534c7a9babd7adf01b8935"/>
      <w:r>
        <w:t xml:space="preserve"> </w:t>
      </w:r>
      <w:bookmarkStart w:id="164" w:name="CTS_58f3ae1859534c7a9babd7adf01b8935"/>
      <w:bookmarkEnd w:id="164"/>
      <w:bookmarkStart w:id="165" w:name="_Toc572"/>
      <w:r>
        <w:rPr>
          <w:rFonts w:hint="eastAsia" w:ascii="宋体" w:hAnsi="宋体" w:eastAsia="宋体"/>
          <w:sz w:val="21"/>
          <w:szCs w:val="21"/>
        </w:rPr>
        <w:t>二十一、托管协议的签订</w:t>
      </w:r>
      <w:bookmarkEnd w:id="162"/>
      <w:bookmarkEnd w:id="165"/>
    </w:p>
    <w:p>
      <w:pPr>
        <w:adjustRightInd w:val="0"/>
        <w:snapToGrid w:val="0"/>
        <w:spacing w:line="360" w:lineRule="auto"/>
        <w:ind w:firstLine="420" w:firstLineChars="200"/>
        <w:rPr>
          <w:rFonts w:ascii="宋体" w:hAnsi="宋体" w:cs="Arial"/>
          <w:szCs w:val="21"/>
        </w:rPr>
      </w:pPr>
      <w:r>
        <w:rPr>
          <w:rFonts w:hint="eastAsia" w:ascii="宋体" w:hAnsi="宋体" w:cs="Arial"/>
          <w:szCs w:val="21"/>
        </w:rPr>
        <w:t>本协议双方法定代表人或授权代表签章、签订地、签订日。</w:t>
      </w:r>
      <w:bookmarkEnd w:id="163"/>
    </w:p>
    <w:sectPr>
      <w:footerReference r:id="rId27" w:type="default"/>
      <w:pgSz w:w="11906" w:h="16838"/>
      <w:pgMar w:top="1418" w:right="1701" w:bottom="1418"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pPr>
      <w:pStyle w:val="1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xMjViNThhODhhMWM4MmVjMTM3NGQxYWU5OWEzZjgifQ=="/>
  </w:docVars>
  <w:rsids>
    <w:rsidRoot w:val="00DC7E74"/>
    <w:rsid w:val="00000DD0"/>
    <w:rsid w:val="0000192D"/>
    <w:rsid w:val="00001AB6"/>
    <w:rsid w:val="00001E42"/>
    <w:rsid w:val="00002977"/>
    <w:rsid w:val="00003DDD"/>
    <w:rsid w:val="00004215"/>
    <w:rsid w:val="00006274"/>
    <w:rsid w:val="000075DD"/>
    <w:rsid w:val="00007C2F"/>
    <w:rsid w:val="00010125"/>
    <w:rsid w:val="0001044F"/>
    <w:rsid w:val="00014D21"/>
    <w:rsid w:val="00016A01"/>
    <w:rsid w:val="00017201"/>
    <w:rsid w:val="00022D6C"/>
    <w:rsid w:val="000239E7"/>
    <w:rsid w:val="00023EE9"/>
    <w:rsid w:val="00024205"/>
    <w:rsid w:val="00024848"/>
    <w:rsid w:val="00027D10"/>
    <w:rsid w:val="00031A4E"/>
    <w:rsid w:val="00031D78"/>
    <w:rsid w:val="00031D96"/>
    <w:rsid w:val="00031DD2"/>
    <w:rsid w:val="000323F1"/>
    <w:rsid w:val="00033DAE"/>
    <w:rsid w:val="00035B30"/>
    <w:rsid w:val="0004151C"/>
    <w:rsid w:val="00041EA9"/>
    <w:rsid w:val="00042898"/>
    <w:rsid w:val="00043A6C"/>
    <w:rsid w:val="000441B2"/>
    <w:rsid w:val="00045017"/>
    <w:rsid w:val="00045690"/>
    <w:rsid w:val="00045B69"/>
    <w:rsid w:val="00046DB8"/>
    <w:rsid w:val="00047948"/>
    <w:rsid w:val="00047EDD"/>
    <w:rsid w:val="00052827"/>
    <w:rsid w:val="00052BEE"/>
    <w:rsid w:val="00052D58"/>
    <w:rsid w:val="00053108"/>
    <w:rsid w:val="00064E77"/>
    <w:rsid w:val="00066315"/>
    <w:rsid w:val="0006703B"/>
    <w:rsid w:val="0006718A"/>
    <w:rsid w:val="00067DA7"/>
    <w:rsid w:val="00071723"/>
    <w:rsid w:val="00072176"/>
    <w:rsid w:val="0007281A"/>
    <w:rsid w:val="00074758"/>
    <w:rsid w:val="00074F42"/>
    <w:rsid w:val="00076C89"/>
    <w:rsid w:val="0007714A"/>
    <w:rsid w:val="00080AFA"/>
    <w:rsid w:val="00080E58"/>
    <w:rsid w:val="0008111E"/>
    <w:rsid w:val="00082FA8"/>
    <w:rsid w:val="00087B42"/>
    <w:rsid w:val="0009016D"/>
    <w:rsid w:val="00090707"/>
    <w:rsid w:val="00091E90"/>
    <w:rsid w:val="0009373C"/>
    <w:rsid w:val="00095055"/>
    <w:rsid w:val="00097239"/>
    <w:rsid w:val="000A1593"/>
    <w:rsid w:val="000A1777"/>
    <w:rsid w:val="000A20C8"/>
    <w:rsid w:val="000B3268"/>
    <w:rsid w:val="000B39C5"/>
    <w:rsid w:val="000B6AA8"/>
    <w:rsid w:val="000C100E"/>
    <w:rsid w:val="000C1D2F"/>
    <w:rsid w:val="000C1FA6"/>
    <w:rsid w:val="000C26FF"/>
    <w:rsid w:val="000C5514"/>
    <w:rsid w:val="000C5A20"/>
    <w:rsid w:val="000C6767"/>
    <w:rsid w:val="000C68E7"/>
    <w:rsid w:val="000C6E67"/>
    <w:rsid w:val="000C6FAD"/>
    <w:rsid w:val="000D0F73"/>
    <w:rsid w:val="000D38A7"/>
    <w:rsid w:val="000D7925"/>
    <w:rsid w:val="000D7E47"/>
    <w:rsid w:val="000E35CB"/>
    <w:rsid w:val="000E6573"/>
    <w:rsid w:val="000E7A28"/>
    <w:rsid w:val="000F2B08"/>
    <w:rsid w:val="000F3A96"/>
    <w:rsid w:val="000F5EC4"/>
    <w:rsid w:val="00101318"/>
    <w:rsid w:val="00101AD0"/>
    <w:rsid w:val="00101B58"/>
    <w:rsid w:val="00102071"/>
    <w:rsid w:val="0010485A"/>
    <w:rsid w:val="001051B2"/>
    <w:rsid w:val="00105310"/>
    <w:rsid w:val="00110704"/>
    <w:rsid w:val="00113B59"/>
    <w:rsid w:val="00114257"/>
    <w:rsid w:val="00115064"/>
    <w:rsid w:val="00117512"/>
    <w:rsid w:val="0011783B"/>
    <w:rsid w:val="00120287"/>
    <w:rsid w:val="00120ABE"/>
    <w:rsid w:val="00124047"/>
    <w:rsid w:val="00124612"/>
    <w:rsid w:val="00126670"/>
    <w:rsid w:val="00130A39"/>
    <w:rsid w:val="00131569"/>
    <w:rsid w:val="00132D3A"/>
    <w:rsid w:val="00133130"/>
    <w:rsid w:val="0013367F"/>
    <w:rsid w:val="00134CB2"/>
    <w:rsid w:val="00135008"/>
    <w:rsid w:val="00135F72"/>
    <w:rsid w:val="00136679"/>
    <w:rsid w:val="00140CFC"/>
    <w:rsid w:val="001451B1"/>
    <w:rsid w:val="00146246"/>
    <w:rsid w:val="001503DE"/>
    <w:rsid w:val="00153191"/>
    <w:rsid w:val="001536DA"/>
    <w:rsid w:val="00153CD2"/>
    <w:rsid w:val="0015665A"/>
    <w:rsid w:val="00156A3F"/>
    <w:rsid w:val="00160684"/>
    <w:rsid w:val="00160700"/>
    <w:rsid w:val="00161DD2"/>
    <w:rsid w:val="00170A79"/>
    <w:rsid w:val="00172530"/>
    <w:rsid w:val="0017370E"/>
    <w:rsid w:val="00174565"/>
    <w:rsid w:val="001748DD"/>
    <w:rsid w:val="00175369"/>
    <w:rsid w:val="00176684"/>
    <w:rsid w:val="00182D88"/>
    <w:rsid w:val="00185465"/>
    <w:rsid w:val="00185825"/>
    <w:rsid w:val="00185AD1"/>
    <w:rsid w:val="0018653A"/>
    <w:rsid w:val="0019194A"/>
    <w:rsid w:val="001945D9"/>
    <w:rsid w:val="001961E4"/>
    <w:rsid w:val="00197C29"/>
    <w:rsid w:val="001A27BB"/>
    <w:rsid w:val="001A31BA"/>
    <w:rsid w:val="001A4014"/>
    <w:rsid w:val="001A4100"/>
    <w:rsid w:val="001B07DD"/>
    <w:rsid w:val="001B3B5D"/>
    <w:rsid w:val="001C044F"/>
    <w:rsid w:val="001C0471"/>
    <w:rsid w:val="001C2010"/>
    <w:rsid w:val="001C2A8E"/>
    <w:rsid w:val="001C3C95"/>
    <w:rsid w:val="001C4C3D"/>
    <w:rsid w:val="001C5B7E"/>
    <w:rsid w:val="001C7718"/>
    <w:rsid w:val="001D0D88"/>
    <w:rsid w:val="001D25D0"/>
    <w:rsid w:val="001D4655"/>
    <w:rsid w:val="001D46C2"/>
    <w:rsid w:val="001D5CCB"/>
    <w:rsid w:val="001D695B"/>
    <w:rsid w:val="001D747C"/>
    <w:rsid w:val="001E0686"/>
    <w:rsid w:val="001E5F15"/>
    <w:rsid w:val="001F0F63"/>
    <w:rsid w:val="001F1F3C"/>
    <w:rsid w:val="001F2D81"/>
    <w:rsid w:val="001F31FB"/>
    <w:rsid w:val="001F4169"/>
    <w:rsid w:val="001F6F44"/>
    <w:rsid w:val="002009F5"/>
    <w:rsid w:val="00200A19"/>
    <w:rsid w:val="002019B6"/>
    <w:rsid w:val="00201C88"/>
    <w:rsid w:val="00201FEC"/>
    <w:rsid w:val="00206847"/>
    <w:rsid w:val="002071A9"/>
    <w:rsid w:val="00215314"/>
    <w:rsid w:val="00216CAA"/>
    <w:rsid w:val="002215D2"/>
    <w:rsid w:val="00222341"/>
    <w:rsid w:val="002306C9"/>
    <w:rsid w:val="00231B62"/>
    <w:rsid w:val="002330CA"/>
    <w:rsid w:val="002332D3"/>
    <w:rsid w:val="00237AD7"/>
    <w:rsid w:val="0024032B"/>
    <w:rsid w:val="00241362"/>
    <w:rsid w:val="00242261"/>
    <w:rsid w:val="00242944"/>
    <w:rsid w:val="00242E69"/>
    <w:rsid w:val="00246B69"/>
    <w:rsid w:val="00247986"/>
    <w:rsid w:val="00247FC1"/>
    <w:rsid w:val="002526FF"/>
    <w:rsid w:val="0026065F"/>
    <w:rsid w:val="002631C1"/>
    <w:rsid w:val="002655BE"/>
    <w:rsid w:val="00266019"/>
    <w:rsid w:val="00267009"/>
    <w:rsid w:val="00271A77"/>
    <w:rsid w:val="002759C1"/>
    <w:rsid w:val="00275EA7"/>
    <w:rsid w:val="002761AA"/>
    <w:rsid w:val="00276CBA"/>
    <w:rsid w:val="00285E1A"/>
    <w:rsid w:val="0028655B"/>
    <w:rsid w:val="00287B07"/>
    <w:rsid w:val="00287DD6"/>
    <w:rsid w:val="00291ACE"/>
    <w:rsid w:val="00292A48"/>
    <w:rsid w:val="0029364D"/>
    <w:rsid w:val="0029563B"/>
    <w:rsid w:val="002961C9"/>
    <w:rsid w:val="002A02E8"/>
    <w:rsid w:val="002A051C"/>
    <w:rsid w:val="002A0B4E"/>
    <w:rsid w:val="002A1685"/>
    <w:rsid w:val="002A2BDE"/>
    <w:rsid w:val="002A6D61"/>
    <w:rsid w:val="002A7408"/>
    <w:rsid w:val="002A790E"/>
    <w:rsid w:val="002A7E73"/>
    <w:rsid w:val="002B11CF"/>
    <w:rsid w:val="002B19DD"/>
    <w:rsid w:val="002B2AD4"/>
    <w:rsid w:val="002B7266"/>
    <w:rsid w:val="002B7527"/>
    <w:rsid w:val="002C06EA"/>
    <w:rsid w:val="002C2B27"/>
    <w:rsid w:val="002C584B"/>
    <w:rsid w:val="002C6520"/>
    <w:rsid w:val="002C6DF2"/>
    <w:rsid w:val="002C7C3C"/>
    <w:rsid w:val="002D155A"/>
    <w:rsid w:val="002D1D4F"/>
    <w:rsid w:val="002E05C3"/>
    <w:rsid w:val="002E3DED"/>
    <w:rsid w:val="002E439D"/>
    <w:rsid w:val="002E46D7"/>
    <w:rsid w:val="002E54B5"/>
    <w:rsid w:val="002F1E2E"/>
    <w:rsid w:val="002F2074"/>
    <w:rsid w:val="002F211E"/>
    <w:rsid w:val="002F3F6D"/>
    <w:rsid w:val="002F5BA1"/>
    <w:rsid w:val="002F66B1"/>
    <w:rsid w:val="002F68F6"/>
    <w:rsid w:val="003026F5"/>
    <w:rsid w:val="00306429"/>
    <w:rsid w:val="003123ED"/>
    <w:rsid w:val="003137F2"/>
    <w:rsid w:val="0031445C"/>
    <w:rsid w:val="003154CF"/>
    <w:rsid w:val="00317638"/>
    <w:rsid w:val="00320987"/>
    <w:rsid w:val="00322A50"/>
    <w:rsid w:val="00323511"/>
    <w:rsid w:val="0032522B"/>
    <w:rsid w:val="00330931"/>
    <w:rsid w:val="003336F7"/>
    <w:rsid w:val="003349CD"/>
    <w:rsid w:val="00334F74"/>
    <w:rsid w:val="00335285"/>
    <w:rsid w:val="003369A7"/>
    <w:rsid w:val="00341850"/>
    <w:rsid w:val="00342054"/>
    <w:rsid w:val="00342DF8"/>
    <w:rsid w:val="003431C7"/>
    <w:rsid w:val="00345036"/>
    <w:rsid w:val="00345E14"/>
    <w:rsid w:val="003532E6"/>
    <w:rsid w:val="00353894"/>
    <w:rsid w:val="00355528"/>
    <w:rsid w:val="00360142"/>
    <w:rsid w:val="00360FE3"/>
    <w:rsid w:val="00363585"/>
    <w:rsid w:val="003659AF"/>
    <w:rsid w:val="00365CCD"/>
    <w:rsid w:val="00371CDD"/>
    <w:rsid w:val="003726C2"/>
    <w:rsid w:val="003761A4"/>
    <w:rsid w:val="00376451"/>
    <w:rsid w:val="00383076"/>
    <w:rsid w:val="00385833"/>
    <w:rsid w:val="0039673F"/>
    <w:rsid w:val="003979A1"/>
    <w:rsid w:val="003A1410"/>
    <w:rsid w:val="003A30E5"/>
    <w:rsid w:val="003A4F07"/>
    <w:rsid w:val="003A631B"/>
    <w:rsid w:val="003A6B7B"/>
    <w:rsid w:val="003A726C"/>
    <w:rsid w:val="003B4B05"/>
    <w:rsid w:val="003B5DEA"/>
    <w:rsid w:val="003C03DB"/>
    <w:rsid w:val="003C0916"/>
    <w:rsid w:val="003C104A"/>
    <w:rsid w:val="003C29ED"/>
    <w:rsid w:val="003C5DC5"/>
    <w:rsid w:val="003C756C"/>
    <w:rsid w:val="003C7D39"/>
    <w:rsid w:val="003D04FF"/>
    <w:rsid w:val="003D3A28"/>
    <w:rsid w:val="003D48B6"/>
    <w:rsid w:val="003D49AD"/>
    <w:rsid w:val="003D4BBC"/>
    <w:rsid w:val="003D5389"/>
    <w:rsid w:val="003D7BA3"/>
    <w:rsid w:val="003E0139"/>
    <w:rsid w:val="003E0AD5"/>
    <w:rsid w:val="003E16F3"/>
    <w:rsid w:val="003E46C5"/>
    <w:rsid w:val="003E7288"/>
    <w:rsid w:val="003F5815"/>
    <w:rsid w:val="003F784C"/>
    <w:rsid w:val="004008A7"/>
    <w:rsid w:val="00401C64"/>
    <w:rsid w:val="004038C3"/>
    <w:rsid w:val="00405405"/>
    <w:rsid w:val="0040782C"/>
    <w:rsid w:val="00407946"/>
    <w:rsid w:val="004105CB"/>
    <w:rsid w:val="00411088"/>
    <w:rsid w:val="00412D2C"/>
    <w:rsid w:val="00413681"/>
    <w:rsid w:val="00414034"/>
    <w:rsid w:val="004142E4"/>
    <w:rsid w:val="00423845"/>
    <w:rsid w:val="004255F7"/>
    <w:rsid w:val="00425D01"/>
    <w:rsid w:val="004265DC"/>
    <w:rsid w:val="004275E3"/>
    <w:rsid w:val="00427FD7"/>
    <w:rsid w:val="00431AC3"/>
    <w:rsid w:val="00431F66"/>
    <w:rsid w:val="004324F7"/>
    <w:rsid w:val="00434945"/>
    <w:rsid w:val="004359C6"/>
    <w:rsid w:val="004365D5"/>
    <w:rsid w:val="00437913"/>
    <w:rsid w:val="00440182"/>
    <w:rsid w:val="00440E3A"/>
    <w:rsid w:val="0044103D"/>
    <w:rsid w:val="00441241"/>
    <w:rsid w:val="00442664"/>
    <w:rsid w:val="00443C07"/>
    <w:rsid w:val="0044539E"/>
    <w:rsid w:val="00450FE9"/>
    <w:rsid w:val="004535FF"/>
    <w:rsid w:val="00461F61"/>
    <w:rsid w:val="00464303"/>
    <w:rsid w:val="004671B6"/>
    <w:rsid w:val="00467DCB"/>
    <w:rsid w:val="00470498"/>
    <w:rsid w:val="00470E62"/>
    <w:rsid w:val="0047119A"/>
    <w:rsid w:val="00473B5C"/>
    <w:rsid w:val="00474D84"/>
    <w:rsid w:val="00475541"/>
    <w:rsid w:val="00476249"/>
    <w:rsid w:val="0048026F"/>
    <w:rsid w:val="00486012"/>
    <w:rsid w:val="0048671F"/>
    <w:rsid w:val="0048715E"/>
    <w:rsid w:val="00492BCA"/>
    <w:rsid w:val="00493296"/>
    <w:rsid w:val="00493DC8"/>
    <w:rsid w:val="00494817"/>
    <w:rsid w:val="00496643"/>
    <w:rsid w:val="004A4931"/>
    <w:rsid w:val="004B0ED0"/>
    <w:rsid w:val="004B144E"/>
    <w:rsid w:val="004B2C2F"/>
    <w:rsid w:val="004B31DB"/>
    <w:rsid w:val="004B3B4A"/>
    <w:rsid w:val="004B6573"/>
    <w:rsid w:val="004B657A"/>
    <w:rsid w:val="004B77FD"/>
    <w:rsid w:val="004B7C6E"/>
    <w:rsid w:val="004C007C"/>
    <w:rsid w:val="004C2330"/>
    <w:rsid w:val="004C707D"/>
    <w:rsid w:val="004D2553"/>
    <w:rsid w:val="004D261F"/>
    <w:rsid w:val="004D2A62"/>
    <w:rsid w:val="004D2E26"/>
    <w:rsid w:val="004D2FCF"/>
    <w:rsid w:val="004D5ACC"/>
    <w:rsid w:val="004E0DF1"/>
    <w:rsid w:val="004E0F7D"/>
    <w:rsid w:val="004E1291"/>
    <w:rsid w:val="004E14CC"/>
    <w:rsid w:val="004E7184"/>
    <w:rsid w:val="004F2B1C"/>
    <w:rsid w:val="004F35BF"/>
    <w:rsid w:val="004F42C1"/>
    <w:rsid w:val="004F6344"/>
    <w:rsid w:val="00503471"/>
    <w:rsid w:val="00503D3F"/>
    <w:rsid w:val="00504AC5"/>
    <w:rsid w:val="00505AC7"/>
    <w:rsid w:val="005101E9"/>
    <w:rsid w:val="00511C6C"/>
    <w:rsid w:val="005143A9"/>
    <w:rsid w:val="005155BC"/>
    <w:rsid w:val="00515D94"/>
    <w:rsid w:val="00521B52"/>
    <w:rsid w:val="0052319D"/>
    <w:rsid w:val="005248B6"/>
    <w:rsid w:val="00526015"/>
    <w:rsid w:val="00527783"/>
    <w:rsid w:val="00527B02"/>
    <w:rsid w:val="0053780A"/>
    <w:rsid w:val="005451F9"/>
    <w:rsid w:val="005502D9"/>
    <w:rsid w:val="00550F23"/>
    <w:rsid w:val="0055149A"/>
    <w:rsid w:val="00553AE3"/>
    <w:rsid w:val="00556EE6"/>
    <w:rsid w:val="00560403"/>
    <w:rsid w:val="005630A4"/>
    <w:rsid w:val="00564D50"/>
    <w:rsid w:val="00565F62"/>
    <w:rsid w:val="005660EE"/>
    <w:rsid w:val="0056678C"/>
    <w:rsid w:val="00570215"/>
    <w:rsid w:val="00570851"/>
    <w:rsid w:val="00571B4A"/>
    <w:rsid w:val="005752B1"/>
    <w:rsid w:val="00576298"/>
    <w:rsid w:val="00576D9E"/>
    <w:rsid w:val="0058016E"/>
    <w:rsid w:val="00580351"/>
    <w:rsid w:val="00580A4E"/>
    <w:rsid w:val="005822B8"/>
    <w:rsid w:val="00582659"/>
    <w:rsid w:val="0058358B"/>
    <w:rsid w:val="00583F43"/>
    <w:rsid w:val="0058470E"/>
    <w:rsid w:val="005849A4"/>
    <w:rsid w:val="00586675"/>
    <w:rsid w:val="00591E65"/>
    <w:rsid w:val="00593932"/>
    <w:rsid w:val="00594A4C"/>
    <w:rsid w:val="005969CA"/>
    <w:rsid w:val="005A06D7"/>
    <w:rsid w:val="005A2D7E"/>
    <w:rsid w:val="005A41FF"/>
    <w:rsid w:val="005A7046"/>
    <w:rsid w:val="005A7140"/>
    <w:rsid w:val="005B060E"/>
    <w:rsid w:val="005B1738"/>
    <w:rsid w:val="005B240C"/>
    <w:rsid w:val="005B4266"/>
    <w:rsid w:val="005B4925"/>
    <w:rsid w:val="005B59D5"/>
    <w:rsid w:val="005B6483"/>
    <w:rsid w:val="005B66FD"/>
    <w:rsid w:val="005B67DA"/>
    <w:rsid w:val="005B685B"/>
    <w:rsid w:val="005B6A9D"/>
    <w:rsid w:val="005C0810"/>
    <w:rsid w:val="005C2546"/>
    <w:rsid w:val="005C4FF8"/>
    <w:rsid w:val="005C7F22"/>
    <w:rsid w:val="005D3BFB"/>
    <w:rsid w:val="005D58AE"/>
    <w:rsid w:val="005D6727"/>
    <w:rsid w:val="005D7F1C"/>
    <w:rsid w:val="005E6E86"/>
    <w:rsid w:val="005F0EBB"/>
    <w:rsid w:val="005F20E0"/>
    <w:rsid w:val="005F288F"/>
    <w:rsid w:val="005F2B6C"/>
    <w:rsid w:val="005F2BCB"/>
    <w:rsid w:val="005F3385"/>
    <w:rsid w:val="005F3898"/>
    <w:rsid w:val="005F3B5B"/>
    <w:rsid w:val="005F3CC2"/>
    <w:rsid w:val="005F3E7C"/>
    <w:rsid w:val="005F7BC7"/>
    <w:rsid w:val="0060476E"/>
    <w:rsid w:val="00607523"/>
    <w:rsid w:val="006100CE"/>
    <w:rsid w:val="0061136C"/>
    <w:rsid w:val="0061145C"/>
    <w:rsid w:val="006114C3"/>
    <w:rsid w:val="00611B88"/>
    <w:rsid w:val="00611F48"/>
    <w:rsid w:val="00613F8A"/>
    <w:rsid w:val="00613FA0"/>
    <w:rsid w:val="00614268"/>
    <w:rsid w:val="00615A06"/>
    <w:rsid w:val="00621321"/>
    <w:rsid w:val="006256CA"/>
    <w:rsid w:val="00635050"/>
    <w:rsid w:val="00642171"/>
    <w:rsid w:val="00644B26"/>
    <w:rsid w:val="006475D5"/>
    <w:rsid w:val="006520C3"/>
    <w:rsid w:val="00652128"/>
    <w:rsid w:val="00652650"/>
    <w:rsid w:val="0065273D"/>
    <w:rsid w:val="00652DBF"/>
    <w:rsid w:val="00654599"/>
    <w:rsid w:val="00660A76"/>
    <w:rsid w:val="00663B13"/>
    <w:rsid w:val="00667E4B"/>
    <w:rsid w:val="00670B94"/>
    <w:rsid w:val="00672A62"/>
    <w:rsid w:val="00673714"/>
    <w:rsid w:val="00674620"/>
    <w:rsid w:val="0067725F"/>
    <w:rsid w:val="00677614"/>
    <w:rsid w:val="00680A6B"/>
    <w:rsid w:val="00681481"/>
    <w:rsid w:val="00683A15"/>
    <w:rsid w:val="006841EB"/>
    <w:rsid w:val="00685EC8"/>
    <w:rsid w:val="00691621"/>
    <w:rsid w:val="0069477A"/>
    <w:rsid w:val="00694C3B"/>
    <w:rsid w:val="006975FC"/>
    <w:rsid w:val="006A2CB1"/>
    <w:rsid w:val="006A4448"/>
    <w:rsid w:val="006B2112"/>
    <w:rsid w:val="006B23D8"/>
    <w:rsid w:val="006B42B2"/>
    <w:rsid w:val="006B42CE"/>
    <w:rsid w:val="006B61D0"/>
    <w:rsid w:val="006B6A5C"/>
    <w:rsid w:val="006B7B59"/>
    <w:rsid w:val="006C7BF9"/>
    <w:rsid w:val="006C7C04"/>
    <w:rsid w:val="006D2279"/>
    <w:rsid w:val="006D5FE6"/>
    <w:rsid w:val="006D62EB"/>
    <w:rsid w:val="006E2427"/>
    <w:rsid w:val="006E463B"/>
    <w:rsid w:val="006E56FE"/>
    <w:rsid w:val="006E5ECE"/>
    <w:rsid w:val="006E7E3E"/>
    <w:rsid w:val="006F1996"/>
    <w:rsid w:val="006F2C40"/>
    <w:rsid w:val="00701585"/>
    <w:rsid w:val="007030BF"/>
    <w:rsid w:val="00703923"/>
    <w:rsid w:val="00703FD5"/>
    <w:rsid w:val="0070491F"/>
    <w:rsid w:val="0070609D"/>
    <w:rsid w:val="00707590"/>
    <w:rsid w:val="007124F5"/>
    <w:rsid w:val="00717934"/>
    <w:rsid w:val="007217DE"/>
    <w:rsid w:val="00722A46"/>
    <w:rsid w:val="007244D7"/>
    <w:rsid w:val="00731589"/>
    <w:rsid w:val="007328E1"/>
    <w:rsid w:val="00732CE8"/>
    <w:rsid w:val="00734A9B"/>
    <w:rsid w:val="00735EE5"/>
    <w:rsid w:val="0074155D"/>
    <w:rsid w:val="00741591"/>
    <w:rsid w:val="00746CAE"/>
    <w:rsid w:val="00752925"/>
    <w:rsid w:val="0075647E"/>
    <w:rsid w:val="00756BF1"/>
    <w:rsid w:val="00756E58"/>
    <w:rsid w:val="00757919"/>
    <w:rsid w:val="00757EF2"/>
    <w:rsid w:val="0076074D"/>
    <w:rsid w:val="0076471D"/>
    <w:rsid w:val="007662C0"/>
    <w:rsid w:val="00766662"/>
    <w:rsid w:val="00766773"/>
    <w:rsid w:val="00766CC7"/>
    <w:rsid w:val="00766F04"/>
    <w:rsid w:val="00771915"/>
    <w:rsid w:val="0077494E"/>
    <w:rsid w:val="00774D42"/>
    <w:rsid w:val="007801DE"/>
    <w:rsid w:val="00780560"/>
    <w:rsid w:val="00781111"/>
    <w:rsid w:val="0078152B"/>
    <w:rsid w:val="0078195F"/>
    <w:rsid w:val="00785A06"/>
    <w:rsid w:val="007861DB"/>
    <w:rsid w:val="0078628A"/>
    <w:rsid w:val="00787792"/>
    <w:rsid w:val="007911F6"/>
    <w:rsid w:val="007919BA"/>
    <w:rsid w:val="00792AAD"/>
    <w:rsid w:val="00793C1F"/>
    <w:rsid w:val="00796B3C"/>
    <w:rsid w:val="00796DD2"/>
    <w:rsid w:val="00797097"/>
    <w:rsid w:val="00797644"/>
    <w:rsid w:val="007A351B"/>
    <w:rsid w:val="007A3F9F"/>
    <w:rsid w:val="007A6E8B"/>
    <w:rsid w:val="007A7A82"/>
    <w:rsid w:val="007B0E25"/>
    <w:rsid w:val="007B2DFC"/>
    <w:rsid w:val="007B2EB0"/>
    <w:rsid w:val="007B4881"/>
    <w:rsid w:val="007B65FA"/>
    <w:rsid w:val="007C0329"/>
    <w:rsid w:val="007C1033"/>
    <w:rsid w:val="007C7465"/>
    <w:rsid w:val="007D2175"/>
    <w:rsid w:val="007D5C10"/>
    <w:rsid w:val="007E1AC2"/>
    <w:rsid w:val="007E53FF"/>
    <w:rsid w:val="007E6F7F"/>
    <w:rsid w:val="007E7A88"/>
    <w:rsid w:val="007F0197"/>
    <w:rsid w:val="007F0C87"/>
    <w:rsid w:val="007F64C0"/>
    <w:rsid w:val="0080033D"/>
    <w:rsid w:val="00800A9F"/>
    <w:rsid w:val="00801335"/>
    <w:rsid w:val="00805F2E"/>
    <w:rsid w:val="00806BB3"/>
    <w:rsid w:val="00806BE9"/>
    <w:rsid w:val="00807072"/>
    <w:rsid w:val="00807401"/>
    <w:rsid w:val="00810902"/>
    <w:rsid w:val="00811A25"/>
    <w:rsid w:val="00811F94"/>
    <w:rsid w:val="00812583"/>
    <w:rsid w:val="00813A33"/>
    <w:rsid w:val="00815297"/>
    <w:rsid w:val="00816337"/>
    <w:rsid w:val="00816A29"/>
    <w:rsid w:val="00820A94"/>
    <w:rsid w:val="0082124A"/>
    <w:rsid w:val="00822FD6"/>
    <w:rsid w:val="0082507C"/>
    <w:rsid w:val="008268A7"/>
    <w:rsid w:val="00826953"/>
    <w:rsid w:val="008274A4"/>
    <w:rsid w:val="00830F1B"/>
    <w:rsid w:val="00832DBF"/>
    <w:rsid w:val="008334AE"/>
    <w:rsid w:val="00836508"/>
    <w:rsid w:val="00836E06"/>
    <w:rsid w:val="00842A4E"/>
    <w:rsid w:val="0084364F"/>
    <w:rsid w:val="0084367A"/>
    <w:rsid w:val="00843C14"/>
    <w:rsid w:val="008460EA"/>
    <w:rsid w:val="00846296"/>
    <w:rsid w:val="00850D01"/>
    <w:rsid w:val="00851A70"/>
    <w:rsid w:val="00852396"/>
    <w:rsid w:val="00854772"/>
    <w:rsid w:val="0085557E"/>
    <w:rsid w:val="00860E5A"/>
    <w:rsid w:val="00870568"/>
    <w:rsid w:val="0087067E"/>
    <w:rsid w:val="00870727"/>
    <w:rsid w:val="00870DED"/>
    <w:rsid w:val="00880397"/>
    <w:rsid w:val="00880D4D"/>
    <w:rsid w:val="008822D0"/>
    <w:rsid w:val="008843E9"/>
    <w:rsid w:val="00884A40"/>
    <w:rsid w:val="0088517F"/>
    <w:rsid w:val="0088608E"/>
    <w:rsid w:val="00895C7C"/>
    <w:rsid w:val="008A0D1F"/>
    <w:rsid w:val="008A0EC8"/>
    <w:rsid w:val="008A2276"/>
    <w:rsid w:val="008A2DBE"/>
    <w:rsid w:val="008A381C"/>
    <w:rsid w:val="008A3BF5"/>
    <w:rsid w:val="008A3D7B"/>
    <w:rsid w:val="008A475E"/>
    <w:rsid w:val="008A4AF8"/>
    <w:rsid w:val="008A583E"/>
    <w:rsid w:val="008A5B6B"/>
    <w:rsid w:val="008A7E71"/>
    <w:rsid w:val="008B007A"/>
    <w:rsid w:val="008B3296"/>
    <w:rsid w:val="008B35A5"/>
    <w:rsid w:val="008B3600"/>
    <w:rsid w:val="008B4216"/>
    <w:rsid w:val="008B77A3"/>
    <w:rsid w:val="008C0FCB"/>
    <w:rsid w:val="008C115C"/>
    <w:rsid w:val="008C3C2B"/>
    <w:rsid w:val="008C75C4"/>
    <w:rsid w:val="008D1B5E"/>
    <w:rsid w:val="008D2326"/>
    <w:rsid w:val="008D251D"/>
    <w:rsid w:val="008D3DBB"/>
    <w:rsid w:val="008E5102"/>
    <w:rsid w:val="008E6C96"/>
    <w:rsid w:val="008F2631"/>
    <w:rsid w:val="008F2B93"/>
    <w:rsid w:val="00900BD8"/>
    <w:rsid w:val="00903549"/>
    <w:rsid w:val="009045B4"/>
    <w:rsid w:val="00906C29"/>
    <w:rsid w:val="00907862"/>
    <w:rsid w:val="0090792E"/>
    <w:rsid w:val="00910249"/>
    <w:rsid w:val="00912F9F"/>
    <w:rsid w:val="00913B61"/>
    <w:rsid w:val="0092043E"/>
    <w:rsid w:val="009207A4"/>
    <w:rsid w:val="00921C43"/>
    <w:rsid w:val="00921F94"/>
    <w:rsid w:val="00923A95"/>
    <w:rsid w:val="00925601"/>
    <w:rsid w:val="00925CD6"/>
    <w:rsid w:val="009261AE"/>
    <w:rsid w:val="00926997"/>
    <w:rsid w:val="00926B86"/>
    <w:rsid w:val="00933F66"/>
    <w:rsid w:val="00935656"/>
    <w:rsid w:val="009428D7"/>
    <w:rsid w:val="00944BA7"/>
    <w:rsid w:val="009454F9"/>
    <w:rsid w:val="0094778B"/>
    <w:rsid w:val="00950757"/>
    <w:rsid w:val="00950F26"/>
    <w:rsid w:val="00952965"/>
    <w:rsid w:val="00952B6F"/>
    <w:rsid w:val="00953D84"/>
    <w:rsid w:val="00954499"/>
    <w:rsid w:val="00954EED"/>
    <w:rsid w:val="009556C6"/>
    <w:rsid w:val="00955893"/>
    <w:rsid w:val="00957CFA"/>
    <w:rsid w:val="009615C7"/>
    <w:rsid w:val="00961AF3"/>
    <w:rsid w:val="00962DED"/>
    <w:rsid w:val="00966A97"/>
    <w:rsid w:val="00966E0D"/>
    <w:rsid w:val="00971C82"/>
    <w:rsid w:val="00971F2C"/>
    <w:rsid w:val="0097369D"/>
    <w:rsid w:val="00977F16"/>
    <w:rsid w:val="00980FD0"/>
    <w:rsid w:val="00981211"/>
    <w:rsid w:val="00982B83"/>
    <w:rsid w:val="00983463"/>
    <w:rsid w:val="0098566E"/>
    <w:rsid w:val="00985BCB"/>
    <w:rsid w:val="00987B0E"/>
    <w:rsid w:val="0099009F"/>
    <w:rsid w:val="0099216A"/>
    <w:rsid w:val="00996942"/>
    <w:rsid w:val="009969AC"/>
    <w:rsid w:val="009A3982"/>
    <w:rsid w:val="009A3A62"/>
    <w:rsid w:val="009A3ED6"/>
    <w:rsid w:val="009A4C7F"/>
    <w:rsid w:val="009A7D1E"/>
    <w:rsid w:val="009B1D02"/>
    <w:rsid w:val="009B2078"/>
    <w:rsid w:val="009B26B2"/>
    <w:rsid w:val="009B3884"/>
    <w:rsid w:val="009B41D2"/>
    <w:rsid w:val="009B4212"/>
    <w:rsid w:val="009B57E0"/>
    <w:rsid w:val="009B5D1D"/>
    <w:rsid w:val="009C08FE"/>
    <w:rsid w:val="009C3F7E"/>
    <w:rsid w:val="009C4AAE"/>
    <w:rsid w:val="009C4DE8"/>
    <w:rsid w:val="009C6D89"/>
    <w:rsid w:val="009C7626"/>
    <w:rsid w:val="009D78E5"/>
    <w:rsid w:val="009E2853"/>
    <w:rsid w:val="009E411C"/>
    <w:rsid w:val="009E59D7"/>
    <w:rsid w:val="009E5B23"/>
    <w:rsid w:val="009F0F8E"/>
    <w:rsid w:val="009F1F57"/>
    <w:rsid w:val="009F25A2"/>
    <w:rsid w:val="009F3FE1"/>
    <w:rsid w:val="009F4E87"/>
    <w:rsid w:val="009F53A5"/>
    <w:rsid w:val="00A0007C"/>
    <w:rsid w:val="00A01902"/>
    <w:rsid w:val="00A01C18"/>
    <w:rsid w:val="00A0203F"/>
    <w:rsid w:val="00A04270"/>
    <w:rsid w:val="00A0506D"/>
    <w:rsid w:val="00A063D0"/>
    <w:rsid w:val="00A101E3"/>
    <w:rsid w:val="00A10943"/>
    <w:rsid w:val="00A13F97"/>
    <w:rsid w:val="00A151C1"/>
    <w:rsid w:val="00A15F89"/>
    <w:rsid w:val="00A16593"/>
    <w:rsid w:val="00A20A62"/>
    <w:rsid w:val="00A21CE1"/>
    <w:rsid w:val="00A245E5"/>
    <w:rsid w:val="00A246A9"/>
    <w:rsid w:val="00A2696F"/>
    <w:rsid w:val="00A26AB3"/>
    <w:rsid w:val="00A27125"/>
    <w:rsid w:val="00A27BEE"/>
    <w:rsid w:val="00A32231"/>
    <w:rsid w:val="00A352A1"/>
    <w:rsid w:val="00A36248"/>
    <w:rsid w:val="00A41504"/>
    <w:rsid w:val="00A419E5"/>
    <w:rsid w:val="00A42C3C"/>
    <w:rsid w:val="00A446A5"/>
    <w:rsid w:val="00A47A6A"/>
    <w:rsid w:val="00A50139"/>
    <w:rsid w:val="00A5644B"/>
    <w:rsid w:val="00A6202F"/>
    <w:rsid w:val="00A620DD"/>
    <w:rsid w:val="00A64BBA"/>
    <w:rsid w:val="00A7031D"/>
    <w:rsid w:val="00A723EA"/>
    <w:rsid w:val="00A73353"/>
    <w:rsid w:val="00A81138"/>
    <w:rsid w:val="00A83D75"/>
    <w:rsid w:val="00A840F7"/>
    <w:rsid w:val="00A84AB9"/>
    <w:rsid w:val="00A86DBF"/>
    <w:rsid w:val="00A90182"/>
    <w:rsid w:val="00A903EA"/>
    <w:rsid w:val="00A90E61"/>
    <w:rsid w:val="00A93209"/>
    <w:rsid w:val="00A93473"/>
    <w:rsid w:val="00A95CA2"/>
    <w:rsid w:val="00A96A42"/>
    <w:rsid w:val="00AA062D"/>
    <w:rsid w:val="00AA0844"/>
    <w:rsid w:val="00AA3CE7"/>
    <w:rsid w:val="00AA44BE"/>
    <w:rsid w:val="00AA7E18"/>
    <w:rsid w:val="00AB09A1"/>
    <w:rsid w:val="00AB1D9C"/>
    <w:rsid w:val="00AB3D14"/>
    <w:rsid w:val="00AB45B1"/>
    <w:rsid w:val="00AB65AE"/>
    <w:rsid w:val="00AC4D03"/>
    <w:rsid w:val="00AC54D8"/>
    <w:rsid w:val="00AC7BE3"/>
    <w:rsid w:val="00AD065B"/>
    <w:rsid w:val="00AD2A63"/>
    <w:rsid w:val="00AD397F"/>
    <w:rsid w:val="00AD57B5"/>
    <w:rsid w:val="00AD75A0"/>
    <w:rsid w:val="00AE05F4"/>
    <w:rsid w:val="00AE0A46"/>
    <w:rsid w:val="00AE2549"/>
    <w:rsid w:val="00AE27C3"/>
    <w:rsid w:val="00AE2D7D"/>
    <w:rsid w:val="00AE344C"/>
    <w:rsid w:val="00AE4C6E"/>
    <w:rsid w:val="00AE7F08"/>
    <w:rsid w:val="00AF1E3A"/>
    <w:rsid w:val="00AF2353"/>
    <w:rsid w:val="00AF29BA"/>
    <w:rsid w:val="00AF29CE"/>
    <w:rsid w:val="00B0090E"/>
    <w:rsid w:val="00B00B62"/>
    <w:rsid w:val="00B01642"/>
    <w:rsid w:val="00B03923"/>
    <w:rsid w:val="00B0434A"/>
    <w:rsid w:val="00B06D85"/>
    <w:rsid w:val="00B1098B"/>
    <w:rsid w:val="00B112C7"/>
    <w:rsid w:val="00B1198E"/>
    <w:rsid w:val="00B13183"/>
    <w:rsid w:val="00B204A8"/>
    <w:rsid w:val="00B21114"/>
    <w:rsid w:val="00B21652"/>
    <w:rsid w:val="00B2251C"/>
    <w:rsid w:val="00B23A73"/>
    <w:rsid w:val="00B23FF4"/>
    <w:rsid w:val="00B25AA6"/>
    <w:rsid w:val="00B30863"/>
    <w:rsid w:val="00B32C0D"/>
    <w:rsid w:val="00B355B7"/>
    <w:rsid w:val="00B3563B"/>
    <w:rsid w:val="00B361BB"/>
    <w:rsid w:val="00B368D9"/>
    <w:rsid w:val="00B37C57"/>
    <w:rsid w:val="00B37D2D"/>
    <w:rsid w:val="00B4022D"/>
    <w:rsid w:val="00B44EEC"/>
    <w:rsid w:val="00B5336D"/>
    <w:rsid w:val="00B544D6"/>
    <w:rsid w:val="00B61804"/>
    <w:rsid w:val="00B6306F"/>
    <w:rsid w:val="00B7051B"/>
    <w:rsid w:val="00B71C1F"/>
    <w:rsid w:val="00B74B7A"/>
    <w:rsid w:val="00B76A3B"/>
    <w:rsid w:val="00B80807"/>
    <w:rsid w:val="00B8325C"/>
    <w:rsid w:val="00B839FC"/>
    <w:rsid w:val="00B859F1"/>
    <w:rsid w:val="00B85DA7"/>
    <w:rsid w:val="00B862CC"/>
    <w:rsid w:val="00B86630"/>
    <w:rsid w:val="00B907A0"/>
    <w:rsid w:val="00B90D94"/>
    <w:rsid w:val="00B91427"/>
    <w:rsid w:val="00B924D6"/>
    <w:rsid w:val="00B93FC3"/>
    <w:rsid w:val="00B9518F"/>
    <w:rsid w:val="00B95CFC"/>
    <w:rsid w:val="00B96881"/>
    <w:rsid w:val="00BA10C2"/>
    <w:rsid w:val="00BA59E5"/>
    <w:rsid w:val="00BA6A0F"/>
    <w:rsid w:val="00BB0623"/>
    <w:rsid w:val="00BB204F"/>
    <w:rsid w:val="00BB289B"/>
    <w:rsid w:val="00BB7F82"/>
    <w:rsid w:val="00BC005C"/>
    <w:rsid w:val="00BC1462"/>
    <w:rsid w:val="00BC2AB2"/>
    <w:rsid w:val="00BC2E20"/>
    <w:rsid w:val="00BC4F68"/>
    <w:rsid w:val="00BC66EB"/>
    <w:rsid w:val="00BC751E"/>
    <w:rsid w:val="00BC79A6"/>
    <w:rsid w:val="00BD0295"/>
    <w:rsid w:val="00BD27C8"/>
    <w:rsid w:val="00BD2D7E"/>
    <w:rsid w:val="00BD310C"/>
    <w:rsid w:val="00BD3A23"/>
    <w:rsid w:val="00BD4FD3"/>
    <w:rsid w:val="00BD7FA8"/>
    <w:rsid w:val="00BE1FE7"/>
    <w:rsid w:val="00BE2B7B"/>
    <w:rsid w:val="00BE32ED"/>
    <w:rsid w:val="00BE3691"/>
    <w:rsid w:val="00BE4978"/>
    <w:rsid w:val="00BE4A3A"/>
    <w:rsid w:val="00BF24DC"/>
    <w:rsid w:val="00BF2C5A"/>
    <w:rsid w:val="00BF41DA"/>
    <w:rsid w:val="00BF4FB5"/>
    <w:rsid w:val="00BF5A45"/>
    <w:rsid w:val="00BF5C40"/>
    <w:rsid w:val="00BF6E03"/>
    <w:rsid w:val="00C00AA3"/>
    <w:rsid w:val="00C01E9C"/>
    <w:rsid w:val="00C024D8"/>
    <w:rsid w:val="00C06268"/>
    <w:rsid w:val="00C079FF"/>
    <w:rsid w:val="00C10685"/>
    <w:rsid w:val="00C10926"/>
    <w:rsid w:val="00C114A2"/>
    <w:rsid w:val="00C120AC"/>
    <w:rsid w:val="00C12CBE"/>
    <w:rsid w:val="00C15231"/>
    <w:rsid w:val="00C17262"/>
    <w:rsid w:val="00C23FF7"/>
    <w:rsid w:val="00C242E8"/>
    <w:rsid w:val="00C267AD"/>
    <w:rsid w:val="00C312FC"/>
    <w:rsid w:val="00C329D4"/>
    <w:rsid w:val="00C342C2"/>
    <w:rsid w:val="00C34FE9"/>
    <w:rsid w:val="00C35D67"/>
    <w:rsid w:val="00C405A7"/>
    <w:rsid w:val="00C41223"/>
    <w:rsid w:val="00C44C70"/>
    <w:rsid w:val="00C451DC"/>
    <w:rsid w:val="00C46966"/>
    <w:rsid w:val="00C479DB"/>
    <w:rsid w:val="00C5361F"/>
    <w:rsid w:val="00C55A43"/>
    <w:rsid w:val="00C60E74"/>
    <w:rsid w:val="00C73BD5"/>
    <w:rsid w:val="00C7566F"/>
    <w:rsid w:val="00C77CA7"/>
    <w:rsid w:val="00C77D41"/>
    <w:rsid w:val="00C8101F"/>
    <w:rsid w:val="00C81E26"/>
    <w:rsid w:val="00C82637"/>
    <w:rsid w:val="00C82765"/>
    <w:rsid w:val="00C8304B"/>
    <w:rsid w:val="00C83466"/>
    <w:rsid w:val="00C861CA"/>
    <w:rsid w:val="00C875D1"/>
    <w:rsid w:val="00C904DA"/>
    <w:rsid w:val="00C928F5"/>
    <w:rsid w:val="00C92F34"/>
    <w:rsid w:val="00C937F0"/>
    <w:rsid w:val="00C94905"/>
    <w:rsid w:val="00C953AF"/>
    <w:rsid w:val="00CA13E6"/>
    <w:rsid w:val="00CA2396"/>
    <w:rsid w:val="00CA2560"/>
    <w:rsid w:val="00CA4D85"/>
    <w:rsid w:val="00CB0FA5"/>
    <w:rsid w:val="00CB174C"/>
    <w:rsid w:val="00CB2D8D"/>
    <w:rsid w:val="00CB40E0"/>
    <w:rsid w:val="00CB5002"/>
    <w:rsid w:val="00CB5BC9"/>
    <w:rsid w:val="00CB6149"/>
    <w:rsid w:val="00CC13D2"/>
    <w:rsid w:val="00CC2A6E"/>
    <w:rsid w:val="00CC4287"/>
    <w:rsid w:val="00CC4451"/>
    <w:rsid w:val="00CC7AA4"/>
    <w:rsid w:val="00CC7F18"/>
    <w:rsid w:val="00CD012C"/>
    <w:rsid w:val="00CD15F0"/>
    <w:rsid w:val="00CD256B"/>
    <w:rsid w:val="00CD4109"/>
    <w:rsid w:val="00CD5FFC"/>
    <w:rsid w:val="00CE276D"/>
    <w:rsid w:val="00CE606A"/>
    <w:rsid w:val="00CE6D88"/>
    <w:rsid w:val="00CE7CC4"/>
    <w:rsid w:val="00CF070D"/>
    <w:rsid w:val="00CF11BD"/>
    <w:rsid w:val="00CF2FDE"/>
    <w:rsid w:val="00CF5676"/>
    <w:rsid w:val="00CF6DD7"/>
    <w:rsid w:val="00CF7C44"/>
    <w:rsid w:val="00D076A4"/>
    <w:rsid w:val="00D1282F"/>
    <w:rsid w:val="00D13508"/>
    <w:rsid w:val="00D13AC5"/>
    <w:rsid w:val="00D16D15"/>
    <w:rsid w:val="00D1744A"/>
    <w:rsid w:val="00D204A6"/>
    <w:rsid w:val="00D20847"/>
    <w:rsid w:val="00D219DF"/>
    <w:rsid w:val="00D21EC3"/>
    <w:rsid w:val="00D2395F"/>
    <w:rsid w:val="00D24A96"/>
    <w:rsid w:val="00D2621F"/>
    <w:rsid w:val="00D27602"/>
    <w:rsid w:val="00D31995"/>
    <w:rsid w:val="00D34969"/>
    <w:rsid w:val="00D438F7"/>
    <w:rsid w:val="00D46421"/>
    <w:rsid w:val="00D46506"/>
    <w:rsid w:val="00D47B40"/>
    <w:rsid w:val="00D51987"/>
    <w:rsid w:val="00D520A3"/>
    <w:rsid w:val="00D531CD"/>
    <w:rsid w:val="00D53E8A"/>
    <w:rsid w:val="00D557DE"/>
    <w:rsid w:val="00D55C41"/>
    <w:rsid w:val="00D64D49"/>
    <w:rsid w:val="00D664D8"/>
    <w:rsid w:val="00D748CF"/>
    <w:rsid w:val="00D74CE7"/>
    <w:rsid w:val="00D763BB"/>
    <w:rsid w:val="00D7640E"/>
    <w:rsid w:val="00D766FD"/>
    <w:rsid w:val="00D76F14"/>
    <w:rsid w:val="00D81BE8"/>
    <w:rsid w:val="00D871F7"/>
    <w:rsid w:val="00D879AD"/>
    <w:rsid w:val="00D92D9E"/>
    <w:rsid w:val="00D9461C"/>
    <w:rsid w:val="00D94926"/>
    <w:rsid w:val="00D94A1E"/>
    <w:rsid w:val="00D954A3"/>
    <w:rsid w:val="00D95676"/>
    <w:rsid w:val="00D95DCA"/>
    <w:rsid w:val="00D95EFC"/>
    <w:rsid w:val="00DA31C9"/>
    <w:rsid w:val="00DA3242"/>
    <w:rsid w:val="00DA4514"/>
    <w:rsid w:val="00DA4D85"/>
    <w:rsid w:val="00DA5F3F"/>
    <w:rsid w:val="00DA614E"/>
    <w:rsid w:val="00DB3BE4"/>
    <w:rsid w:val="00DB4AE5"/>
    <w:rsid w:val="00DB7853"/>
    <w:rsid w:val="00DC0C3C"/>
    <w:rsid w:val="00DC18DD"/>
    <w:rsid w:val="00DC3796"/>
    <w:rsid w:val="00DC5DEE"/>
    <w:rsid w:val="00DC6471"/>
    <w:rsid w:val="00DC6BFE"/>
    <w:rsid w:val="00DC6EC1"/>
    <w:rsid w:val="00DC7E74"/>
    <w:rsid w:val="00DD0660"/>
    <w:rsid w:val="00DD25A5"/>
    <w:rsid w:val="00DD3064"/>
    <w:rsid w:val="00DD363B"/>
    <w:rsid w:val="00DD568D"/>
    <w:rsid w:val="00DE1FBC"/>
    <w:rsid w:val="00DE4F7C"/>
    <w:rsid w:val="00DE7E91"/>
    <w:rsid w:val="00DF2AB8"/>
    <w:rsid w:val="00DF3717"/>
    <w:rsid w:val="00DF4957"/>
    <w:rsid w:val="00DF74E5"/>
    <w:rsid w:val="00DF75D4"/>
    <w:rsid w:val="00E062AD"/>
    <w:rsid w:val="00E1062A"/>
    <w:rsid w:val="00E12552"/>
    <w:rsid w:val="00E12670"/>
    <w:rsid w:val="00E12CDB"/>
    <w:rsid w:val="00E13C85"/>
    <w:rsid w:val="00E140DB"/>
    <w:rsid w:val="00E15472"/>
    <w:rsid w:val="00E16F85"/>
    <w:rsid w:val="00E17135"/>
    <w:rsid w:val="00E200E1"/>
    <w:rsid w:val="00E21218"/>
    <w:rsid w:val="00E24640"/>
    <w:rsid w:val="00E24732"/>
    <w:rsid w:val="00E2473B"/>
    <w:rsid w:val="00E25A21"/>
    <w:rsid w:val="00E26B2F"/>
    <w:rsid w:val="00E302B0"/>
    <w:rsid w:val="00E309FF"/>
    <w:rsid w:val="00E31932"/>
    <w:rsid w:val="00E31C1B"/>
    <w:rsid w:val="00E3280F"/>
    <w:rsid w:val="00E33ADC"/>
    <w:rsid w:val="00E34149"/>
    <w:rsid w:val="00E36939"/>
    <w:rsid w:val="00E36AB5"/>
    <w:rsid w:val="00E401CD"/>
    <w:rsid w:val="00E4548E"/>
    <w:rsid w:val="00E50337"/>
    <w:rsid w:val="00E51C8F"/>
    <w:rsid w:val="00E60BC8"/>
    <w:rsid w:val="00E627CD"/>
    <w:rsid w:val="00E64E60"/>
    <w:rsid w:val="00E669C2"/>
    <w:rsid w:val="00E678B6"/>
    <w:rsid w:val="00E75929"/>
    <w:rsid w:val="00E77DD3"/>
    <w:rsid w:val="00E80CAD"/>
    <w:rsid w:val="00E83907"/>
    <w:rsid w:val="00E86C77"/>
    <w:rsid w:val="00E870E0"/>
    <w:rsid w:val="00E8764F"/>
    <w:rsid w:val="00E90D07"/>
    <w:rsid w:val="00E9435F"/>
    <w:rsid w:val="00E954BF"/>
    <w:rsid w:val="00E957BA"/>
    <w:rsid w:val="00E96121"/>
    <w:rsid w:val="00E96960"/>
    <w:rsid w:val="00EA0B55"/>
    <w:rsid w:val="00EA0C8B"/>
    <w:rsid w:val="00EA12B6"/>
    <w:rsid w:val="00EA1456"/>
    <w:rsid w:val="00EA29A3"/>
    <w:rsid w:val="00EA2B2B"/>
    <w:rsid w:val="00EA2B62"/>
    <w:rsid w:val="00EA2B8A"/>
    <w:rsid w:val="00EA566E"/>
    <w:rsid w:val="00EA5911"/>
    <w:rsid w:val="00EA74D6"/>
    <w:rsid w:val="00EA76F9"/>
    <w:rsid w:val="00EB106E"/>
    <w:rsid w:val="00EB1B58"/>
    <w:rsid w:val="00EB27B7"/>
    <w:rsid w:val="00EB2A4D"/>
    <w:rsid w:val="00EB2BFD"/>
    <w:rsid w:val="00EB3012"/>
    <w:rsid w:val="00EB46DD"/>
    <w:rsid w:val="00EB4A2A"/>
    <w:rsid w:val="00EB5A16"/>
    <w:rsid w:val="00EB5DC2"/>
    <w:rsid w:val="00EC0F17"/>
    <w:rsid w:val="00EC38EC"/>
    <w:rsid w:val="00EC3A70"/>
    <w:rsid w:val="00EC41BB"/>
    <w:rsid w:val="00EC6E75"/>
    <w:rsid w:val="00ED1B91"/>
    <w:rsid w:val="00ED20F2"/>
    <w:rsid w:val="00ED2A25"/>
    <w:rsid w:val="00ED3B44"/>
    <w:rsid w:val="00ED4113"/>
    <w:rsid w:val="00ED4121"/>
    <w:rsid w:val="00ED7203"/>
    <w:rsid w:val="00ED7337"/>
    <w:rsid w:val="00EE0F73"/>
    <w:rsid w:val="00EE1299"/>
    <w:rsid w:val="00EE1700"/>
    <w:rsid w:val="00EE227F"/>
    <w:rsid w:val="00EE2F41"/>
    <w:rsid w:val="00EE2F7F"/>
    <w:rsid w:val="00EE47E5"/>
    <w:rsid w:val="00EF2731"/>
    <w:rsid w:val="00EF303D"/>
    <w:rsid w:val="00EF3E4E"/>
    <w:rsid w:val="00EF475E"/>
    <w:rsid w:val="00F00B3B"/>
    <w:rsid w:val="00F06A78"/>
    <w:rsid w:val="00F1286B"/>
    <w:rsid w:val="00F13963"/>
    <w:rsid w:val="00F13999"/>
    <w:rsid w:val="00F13BAB"/>
    <w:rsid w:val="00F1403C"/>
    <w:rsid w:val="00F15A80"/>
    <w:rsid w:val="00F1757E"/>
    <w:rsid w:val="00F22C9F"/>
    <w:rsid w:val="00F25338"/>
    <w:rsid w:val="00F27F44"/>
    <w:rsid w:val="00F30148"/>
    <w:rsid w:val="00F32EB2"/>
    <w:rsid w:val="00F33824"/>
    <w:rsid w:val="00F34C94"/>
    <w:rsid w:val="00F35823"/>
    <w:rsid w:val="00F36D3B"/>
    <w:rsid w:val="00F415E7"/>
    <w:rsid w:val="00F440CF"/>
    <w:rsid w:val="00F44562"/>
    <w:rsid w:val="00F4590F"/>
    <w:rsid w:val="00F4628E"/>
    <w:rsid w:val="00F47E8C"/>
    <w:rsid w:val="00F50E48"/>
    <w:rsid w:val="00F524FE"/>
    <w:rsid w:val="00F5262B"/>
    <w:rsid w:val="00F528D3"/>
    <w:rsid w:val="00F52A44"/>
    <w:rsid w:val="00F52F1C"/>
    <w:rsid w:val="00F57D27"/>
    <w:rsid w:val="00F60907"/>
    <w:rsid w:val="00F622D4"/>
    <w:rsid w:val="00F63BAD"/>
    <w:rsid w:val="00F647BA"/>
    <w:rsid w:val="00F64C0B"/>
    <w:rsid w:val="00F65136"/>
    <w:rsid w:val="00F66D91"/>
    <w:rsid w:val="00F67A52"/>
    <w:rsid w:val="00F708B2"/>
    <w:rsid w:val="00F74CBB"/>
    <w:rsid w:val="00F75C2F"/>
    <w:rsid w:val="00F84435"/>
    <w:rsid w:val="00F848C5"/>
    <w:rsid w:val="00F84B55"/>
    <w:rsid w:val="00F85DBF"/>
    <w:rsid w:val="00F87B00"/>
    <w:rsid w:val="00F87F1A"/>
    <w:rsid w:val="00F90DB7"/>
    <w:rsid w:val="00F91115"/>
    <w:rsid w:val="00F913BD"/>
    <w:rsid w:val="00F91C43"/>
    <w:rsid w:val="00F927EF"/>
    <w:rsid w:val="00F94F04"/>
    <w:rsid w:val="00F9534F"/>
    <w:rsid w:val="00F95FF6"/>
    <w:rsid w:val="00FA0E11"/>
    <w:rsid w:val="00FA20C5"/>
    <w:rsid w:val="00FA6503"/>
    <w:rsid w:val="00FA7884"/>
    <w:rsid w:val="00FB27EB"/>
    <w:rsid w:val="00FB28F7"/>
    <w:rsid w:val="00FB7B1C"/>
    <w:rsid w:val="00FB7F4F"/>
    <w:rsid w:val="00FC0DF4"/>
    <w:rsid w:val="00FC1F16"/>
    <w:rsid w:val="00FC34D3"/>
    <w:rsid w:val="00FC6337"/>
    <w:rsid w:val="00FD08AE"/>
    <w:rsid w:val="00FD12A3"/>
    <w:rsid w:val="00FD2D65"/>
    <w:rsid w:val="00FD520D"/>
    <w:rsid w:val="00FD5FFF"/>
    <w:rsid w:val="00FD74C1"/>
    <w:rsid w:val="00FE10D4"/>
    <w:rsid w:val="00FE13D9"/>
    <w:rsid w:val="00FE1AF1"/>
    <w:rsid w:val="00FE2BF6"/>
    <w:rsid w:val="00FE5F6E"/>
    <w:rsid w:val="00FE67A8"/>
    <w:rsid w:val="00FE792D"/>
    <w:rsid w:val="07D34A14"/>
    <w:rsid w:val="0CEA7D65"/>
    <w:rsid w:val="16FF2ED5"/>
    <w:rsid w:val="2A614E66"/>
    <w:rsid w:val="32615CA0"/>
    <w:rsid w:val="353B4F2B"/>
    <w:rsid w:val="54EE3D9D"/>
    <w:rsid w:val="56235C7E"/>
    <w:rsid w:val="5BAA27AF"/>
    <w:rsid w:val="624B72C8"/>
    <w:rsid w:val="69C669E0"/>
    <w:rsid w:val="6A865F51"/>
    <w:rsid w:val="7F135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6" w:lineRule="auto"/>
      <w:outlineLvl w:val="1"/>
    </w:pPr>
    <w:rPr>
      <w:rFonts w:ascii="Arial" w:hAnsi="Arial" w:eastAsia="黑体"/>
      <w:b/>
      <w:sz w:val="32"/>
      <w:szCs w:val="20"/>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5">
    <w:name w:val="Normal Indent"/>
    <w:basedOn w:val="1"/>
    <w:qFormat/>
    <w:uiPriority w:val="99"/>
    <w:pPr>
      <w:ind w:firstLine="420" w:firstLineChars="200"/>
    </w:pPr>
  </w:style>
  <w:style w:type="paragraph" w:styleId="6">
    <w:name w:val="toc 7"/>
    <w:basedOn w:val="1"/>
    <w:next w:val="1"/>
    <w:semiHidden/>
    <w:qFormat/>
    <w:uiPriority w:val="0"/>
    <w:pPr>
      <w:ind w:left="2520" w:leftChars="1200"/>
    </w:pPr>
  </w:style>
  <w:style w:type="paragraph" w:styleId="7">
    <w:name w:val="Document Map"/>
    <w:basedOn w:val="1"/>
    <w:semiHidden/>
    <w:qFormat/>
    <w:uiPriority w:val="0"/>
    <w:pPr>
      <w:shd w:val="clear" w:color="auto" w:fill="000080"/>
    </w:pPr>
  </w:style>
  <w:style w:type="paragraph" w:styleId="8">
    <w:name w:val="annotation text"/>
    <w:basedOn w:val="1"/>
    <w:link w:val="40"/>
    <w:qFormat/>
    <w:uiPriority w:val="0"/>
    <w:pPr>
      <w:jc w:val="left"/>
    </w:pPr>
  </w:style>
  <w:style w:type="paragraph" w:styleId="9">
    <w:name w:val="Body Text"/>
    <w:basedOn w:val="1"/>
    <w:qFormat/>
    <w:uiPriority w:val="0"/>
    <w:pPr>
      <w:spacing w:line="360" w:lineRule="auto"/>
    </w:pPr>
    <w:rPr>
      <w:rFonts w:ascii="仿宋_GB2312" w:eastAsia="仿宋_GB2312"/>
      <w:color w:val="000000"/>
      <w:kern w:val="0"/>
      <w:sz w:val="24"/>
      <w:szCs w:val="28"/>
    </w:rPr>
  </w:style>
  <w:style w:type="paragraph" w:styleId="10">
    <w:name w:val="Body Text Indent"/>
    <w:basedOn w:val="1"/>
    <w:qFormat/>
    <w:uiPriority w:val="0"/>
    <w:pPr>
      <w:adjustRightInd w:val="0"/>
      <w:snapToGrid w:val="0"/>
      <w:spacing w:line="560" w:lineRule="exact"/>
      <w:ind w:firstLine="480" w:firstLineChars="200"/>
    </w:pPr>
    <w:rPr>
      <w:rFonts w:eastAsia="方正仿宋简体"/>
      <w:sz w:val="24"/>
      <w:szCs w:val="30"/>
    </w:rPr>
  </w:style>
  <w:style w:type="paragraph" w:styleId="11">
    <w:name w:val="toc 5"/>
    <w:basedOn w:val="1"/>
    <w:next w:val="1"/>
    <w:semiHidden/>
    <w:qFormat/>
    <w:uiPriority w:val="0"/>
    <w:pPr>
      <w:ind w:left="1680" w:leftChars="800"/>
    </w:pPr>
  </w:style>
  <w:style w:type="paragraph" w:styleId="12">
    <w:name w:val="toc 3"/>
    <w:basedOn w:val="1"/>
    <w:next w:val="1"/>
    <w:semiHidden/>
    <w:qFormat/>
    <w:uiPriority w:val="0"/>
    <w:pPr>
      <w:ind w:left="840" w:leftChars="400"/>
    </w:pPr>
  </w:style>
  <w:style w:type="paragraph" w:styleId="13">
    <w:name w:val="toc 8"/>
    <w:basedOn w:val="1"/>
    <w:next w:val="1"/>
    <w:semiHidden/>
    <w:qFormat/>
    <w:uiPriority w:val="0"/>
    <w:pPr>
      <w:ind w:left="2940" w:leftChars="1400"/>
    </w:pPr>
  </w:style>
  <w:style w:type="paragraph" w:styleId="14">
    <w:name w:val="Body Text Indent 2"/>
    <w:basedOn w:val="1"/>
    <w:qFormat/>
    <w:uiPriority w:val="0"/>
    <w:pPr>
      <w:spacing w:line="360" w:lineRule="auto"/>
      <w:ind w:firstLine="525"/>
    </w:pPr>
    <w:rPr>
      <w:rFonts w:ascii="宋体" w:hAnsi="宋体"/>
      <w:sz w:val="28"/>
      <w:szCs w:val="20"/>
    </w:rPr>
  </w:style>
  <w:style w:type="paragraph" w:styleId="15">
    <w:name w:val="footer"/>
    <w:basedOn w:val="1"/>
    <w:link w:val="43"/>
    <w:qFormat/>
    <w:uiPriority w:val="99"/>
    <w:pPr>
      <w:tabs>
        <w:tab w:val="center" w:pos="4153"/>
        <w:tab w:val="right" w:pos="8306"/>
      </w:tabs>
      <w:snapToGrid w:val="0"/>
      <w:jc w:val="left"/>
    </w:pPr>
    <w:rPr>
      <w:sz w:val="18"/>
      <w:szCs w:val="18"/>
    </w:rPr>
  </w:style>
  <w:style w:type="paragraph" w:styleId="16">
    <w:name w:val="header"/>
    <w:basedOn w:val="1"/>
    <w:link w:val="44"/>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style>
  <w:style w:type="paragraph" w:styleId="18">
    <w:name w:val="toc 4"/>
    <w:basedOn w:val="1"/>
    <w:next w:val="1"/>
    <w:semiHidden/>
    <w:qFormat/>
    <w:uiPriority w:val="0"/>
    <w:pPr>
      <w:ind w:left="1260" w:leftChars="600"/>
    </w:pPr>
  </w:style>
  <w:style w:type="paragraph" w:styleId="19">
    <w:name w:val="toc 6"/>
    <w:basedOn w:val="1"/>
    <w:next w:val="1"/>
    <w:semiHidden/>
    <w:qFormat/>
    <w:uiPriority w:val="0"/>
    <w:pPr>
      <w:ind w:left="2100" w:leftChars="1000"/>
    </w:pPr>
  </w:style>
  <w:style w:type="paragraph" w:styleId="20">
    <w:name w:val="Body Text Indent 3"/>
    <w:basedOn w:val="1"/>
    <w:qFormat/>
    <w:uiPriority w:val="0"/>
    <w:pPr>
      <w:adjustRightInd w:val="0"/>
      <w:snapToGrid w:val="0"/>
      <w:ind w:firstLine="480" w:firstLineChars="200"/>
    </w:pPr>
    <w:rPr>
      <w:rFonts w:ascii="仿宋_GB2312" w:hAnsi="宋体" w:eastAsia="仿宋_GB2312" w:cs="Arial"/>
      <w:color w:val="000000"/>
      <w:sz w:val="24"/>
    </w:rPr>
  </w:style>
  <w:style w:type="paragraph" w:styleId="21">
    <w:name w:val="toc 2"/>
    <w:basedOn w:val="1"/>
    <w:next w:val="1"/>
    <w:qFormat/>
    <w:uiPriority w:val="39"/>
    <w:pPr>
      <w:ind w:left="420" w:leftChars="200"/>
    </w:pPr>
  </w:style>
  <w:style w:type="paragraph" w:styleId="22">
    <w:name w:val="toc 9"/>
    <w:basedOn w:val="1"/>
    <w:next w:val="1"/>
    <w:semiHidden/>
    <w:qFormat/>
    <w:uiPriority w:val="0"/>
    <w:pPr>
      <w:ind w:left="3360" w:leftChars="1600"/>
    </w:pPr>
  </w:style>
  <w:style w:type="paragraph" w:styleId="23">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paragraph" w:styleId="24">
    <w:name w:val="Title"/>
    <w:basedOn w:val="1"/>
    <w:link w:val="42"/>
    <w:qFormat/>
    <w:uiPriority w:val="0"/>
    <w:pPr>
      <w:spacing w:before="240" w:after="60"/>
      <w:jc w:val="center"/>
      <w:outlineLvl w:val="0"/>
    </w:pPr>
    <w:rPr>
      <w:rFonts w:ascii="Arial" w:hAnsi="Arial"/>
      <w:b/>
      <w:bCs/>
      <w:sz w:val="32"/>
      <w:szCs w:val="32"/>
    </w:rPr>
  </w:style>
  <w:style w:type="paragraph" w:styleId="25">
    <w:name w:val="annotation subject"/>
    <w:basedOn w:val="8"/>
    <w:next w:val="8"/>
    <w:semiHidden/>
    <w:qFormat/>
    <w:uiPriority w:val="0"/>
    <w:rPr>
      <w:b/>
      <w:bCs/>
    </w:r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0"/>
    <w:rPr>
      <w:color w:val="800080"/>
      <w:u w:val="single"/>
    </w:rPr>
  </w:style>
  <w:style w:type="character" w:styleId="31">
    <w:name w:val="Hyperlink"/>
    <w:qFormat/>
    <w:uiPriority w:val="99"/>
    <w:rPr>
      <w:color w:val="0000FF"/>
      <w:u w:val="single"/>
    </w:rPr>
  </w:style>
  <w:style w:type="character" w:styleId="32">
    <w:name w:val="annotation reference"/>
    <w:qFormat/>
    <w:uiPriority w:val="99"/>
    <w:rPr>
      <w:sz w:val="21"/>
      <w:szCs w:val="21"/>
    </w:rPr>
  </w:style>
  <w:style w:type="paragraph" w:customStyle="1" w:styleId="33">
    <w:name w:val="wz1"/>
    <w:basedOn w:val="1"/>
    <w:qFormat/>
    <w:uiPriority w:val="0"/>
    <w:pPr>
      <w:widowControl/>
      <w:spacing w:before="100" w:beforeAutospacing="1" w:after="100" w:afterAutospacing="1" w:line="245" w:lineRule="atLeast"/>
      <w:jc w:val="left"/>
    </w:pPr>
    <w:rPr>
      <w:rFonts w:ascii="Arial Unicode MS" w:hAnsi="Arial Unicode MS" w:eastAsia="Arial Unicode MS" w:cs="Arial Unicode MS"/>
      <w:color w:val="CC0000"/>
      <w:kern w:val="0"/>
      <w:sz w:val="22"/>
      <w:szCs w:val="22"/>
    </w:rPr>
  </w:style>
  <w:style w:type="character" w:customStyle="1" w:styleId="34">
    <w:name w:val="read"/>
    <w:basedOn w:val="27"/>
    <w:qFormat/>
    <w:uiPriority w:val="0"/>
  </w:style>
  <w:style w:type="paragraph" w:customStyle="1" w:styleId="35">
    <w:name w:val="Char"/>
    <w:basedOn w:val="1"/>
    <w:qFormat/>
    <w:uiPriority w:val="0"/>
  </w:style>
  <w:style w:type="paragraph" w:customStyle="1" w:styleId="36">
    <w:name w:val="Char1"/>
    <w:basedOn w:val="1"/>
    <w:qFormat/>
    <w:uiPriority w:val="0"/>
    <w:pPr>
      <w:tabs>
        <w:tab w:val="left" w:pos="832"/>
      </w:tabs>
      <w:ind w:left="832" w:hanging="420"/>
      <w:jc w:val="center"/>
    </w:pPr>
    <w:rPr>
      <w:rFonts w:ascii="楷体_GB2312" w:eastAsia="楷体_GB2312"/>
      <w:b/>
      <w:color w:val="000080"/>
      <w:sz w:val="30"/>
      <w:szCs w:val="30"/>
    </w:rPr>
  </w:style>
  <w:style w:type="paragraph" w:customStyle="1" w:styleId="37">
    <w:name w:val="Char2"/>
    <w:basedOn w:val="1"/>
    <w:qFormat/>
    <w:uiPriority w:val="0"/>
  </w:style>
  <w:style w:type="paragraph" w:customStyle="1" w:styleId="38">
    <w:name w:val="Char Char Char Char Char Char Char"/>
    <w:basedOn w:val="1"/>
    <w:qFormat/>
    <w:uiPriority w:val="0"/>
  </w:style>
  <w:style w:type="paragraph" w:customStyle="1" w:styleId="39">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40">
    <w:name w:val="批注文字 字符"/>
    <w:link w:val="8"/>
    <w:qFormat/>
    <w:uiPriority w:val="0"/>
    <w:rPr>
      <w:rFonts w:eastAsia="宋体"/>
      <w:kern w:val="2"/>
      <w:sz w:val="21"/>
      <w:szCs w:val="24"/>
      <w:lang w:val="en-US" w:eastAsia="zh-CN" w:bidi="ar-SA"/>
    </w:rPr>
  </w:style>
  <w:style w:type="paragraph" w:customStyle="1" w:styleId="4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2">
    <w:name w:val="标题 字符"/>
    <w:link w:val="24"/>
    <w:qFormat/>
    <w:uiPriority w:val="0"/>
    <w:rPr>
      <w:rFonts w:ascii="Arial" w:hAnsi="Arial" w:cs="Arial"/>
      <w:b/>
      <w:bCs/>
      <w:kern w:val="2"/>
      <w:sz w:val="32"/>
      <w:szCs w:val="32"/>
    </w:rPr>
  </w:style>
  <w:style w:type="character" w:customStyle="1" w:styleId="43">
    <w:name w:val="页脚 字符"/>
    <w:link w:val="15"/>
    <w:qFormat/>
    <w:uiPriority w:val="99"/>
    <w:rPr>
      <w:kern w:val="2"/>
      <w:sz w:val="18"/>
      <w:szCs w:val="18"/>
    </w:rPr>
  </w:style>
  <w:style w:type="character" w:customStyle="1" w:styleId="44">
    <w:name w:val="页眉 字符"/>
    <w:link w:val="16"/>
    <w:qFormat/>
    <w:uiPriority w:val="99"/>
    <w:rPr>
      <w:kern w:val="2"/>
      <w:sz w:val="18"/>
      <w:szCs w:val="18"/>
    </w:rPr>
  </w:style>
  <w:style w:type="character" w:customStyle="1" w:styleId="45">
    <w:name w:val="标题 1 字符"/>
    <w:link w:val="3"/>
    <w:qFormat/>
    <w:uiPriority w:val="0"/>
    <w:rPr>
      <w:b/>
      <w:bCs/>
      <w:kern w:val="44"/>
      <w:sz w:val="44"/>
      <w:szCs w:val="44"/>
    </w:rPr>
  </w:style>
  <w:style w:type="paragraph" w:customStyle="1" w:styleId="46">
    <w:name w:val="Char3"/>
    <w:basedOn w:val="1"/>
    <w:qFormat/>
    <w:uiPriority w:val="0"/>
  </w:style>
  <w:style w:type="paragraph" w:customStyle="1" w:styleId="47">
    <w:name w:val="Char11"/>
    <w:basedOn w:val="1"/>
    <w:qFormat/>
    <w:uiPriority w:val="0"/>
    <w:pPr>
      <w:tabs>
        <w:tab w:val="left" w:pos="832"/>
      </w:tabs>
      <w:ind w:left="832" w:hanging="420"/>
      <w:jc w:val="center"/>
    </w:pPr>
    <w:rPr>
      <w:rFonts w:ascii="楷体_GB2312" w:eastAsia="楷体_GB2312"/>
      <w:b/>
      <w:color w:val="000080"/>
      <w:sz w:val="30"/>
      <w:szCs w:val="30"/>
    </w:rPr>
  </w:style>
  <w:style w:type="paragraph" w:customStyle="1" w:styleId="48">
    <w:name w:val="Char Char Char Char Char Char Char1"/>
    <w:basedOn w:val="1"/>
    <w:qFormat/>
    <w:uiPriority w:val="0"/>
  </w:style>
  <w:style w:type="paragraph" w:customStyle="1" w:styleId="49">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4" Type="http://schemas.openxmlformats.org/officeDocument/2006/relationships/fontTable" Target="fontTable.xml"/><Relationship Id="rId53" Type="http://schemas.openxmlformats.org/officeDocument/2006/relationships/customXml" Target="../customXml/item25.xml"/><Relationship Id="rId52" Type="http://schemas.openxmlformats.org/officeDocument/2006/relationships/customXml" Target="../customXml/item24.xml"/><Relationship Id="rId51" Type="http://schemas.openxmlformats.org/officeDocument/2006/relationships/customXml" Target="../customXml/item23.xml"/><Relationship Id="rId50" Type="http://schemas.openxmlformats.org/officeDocument/2006/relationships/customXml" Target="../customXml/item22.xml"/><Relationship Id="rId5" Type="http://schemas.openxmlformats.org/officeDocument/2006/relationships/footer" Target="footer2.xml"/><Relationship Id="rId49" Type="http://schemas.openxmlformats.org/officeDocument/2006/relationships/customXml" Target="../customXml/item21.xml"/><Relationship Id="rId48" Type="http://schemas.openxmlformats.org/officeDocument/2006/relationships/customXml" Target="../customXml/item20.xml"/><Relationship Id="rId47" Type="http://schemas.openxmlformats.org/officeDocument/2006/relationships/customXml" Target="../customXml/item19.xml"/><Relationship Id="rId46" Type="http://schemas.openxmlformats.org/officeDocument/2006/relationships/customXml" Target="../customXml/item18.xml"/><Relationship Id="rId45" Type="http://schemas.openxmlformats.org/officeDocument/2006/relationships/customXml" Target="../customXml/item17.xml"/><Relationship Id="rId44" Type="http://schemas.openxmlformats.org/officeDocument/2006/relationships/customXml" Target="../customXml/item16.xml"/><Relationship Id="rId43" Type="http://schemas.openxmlformats.org/officeDocument/2006/relationships/customXml" Target="../customXml/item15.xml"/><Relationship Id="rId42" Type="http://schemas.openxmlformats.org/officeDocument/2006/relationships/customXml" Target="../customXml/item14.xml"/><Relationship Id="rId41" Type="http://schemas.openxmlformats.org/officeDocument/2006/relationships/customXml" Target="../customXml/item13.xml"/><Relationship Id="rId40" Type="http://schemas.openxmlformats.org/officeDocument/2006/relationships/customXml" Target="../customXml/item12.xml"/><Relationship Id="rId4" Type="http://schemas.openxmlformats.org/officeDocument/2006/relationships/header" Target="header1.xml"/><Relationship Id="rId39" Type="http://schemas.openxmlformats.org/officeDocument/2006/relationships/customXml" Target="../customXml/item11.xml"/><Relationship Id="rId38" Type="http://schemas.openxmlformats.org/officeDocument/2006/relationships/customXml" Target="../customXml/item10.xml"/><Relationship Id="rId37" Type="http://schemas.openxmlformats.org/officeDocument/2006/relationships/customXml" Target="../customXml/item9.xml"/><Relationship Id="rId36" Type="http://schemas.openxmlformats.org/officeDocument/2006/relationships/customXml" Target="../customXml/item8.xml"/><Relationship Id="rId35" Type="http://schemas.openxmlformats.org/officeDocument/2006/relationships/customXml" Target="../customXml/item7.xml"/><Relationship Id="rId34" Type="http://schemas.openxmlformats.org/officeDocument/2006/relationships/customXml" Target="../customXml/item6.xml"/><Relationship Id="rId33" Type="http://schemas.openxmlformats.org/officeDocument/2006/relationships/customXml" Target="../customXml/item5.xml"/><Relationship Id="rId32" Type="http://schemas.openxmlformats.org/officeDocument/2006/relationships/customXml" Target="../customXml/item4.xml"/><Relationship Id="rId31" Type="http://schemas.openxmlformats.org/officeDocument/2006/relationships/customXml" Target="../customXml/item3.xml"/><Relationship Id="rId30" Type="http://schemas.openxmlformats.org/officeDocument/2006/relationships/customXml" Target="../customXml/item2.xml"/><Relationship Id="rId3" Type="http://schemas.openxmlformats.org/officeDocument/2006/relationships/footer" Target="foot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0A3F29C5-56E0-42C3-B107-8AF76D616759}">
  <ds:schemaRefs/>
</ds:datastoreItem>
</file>

<file path=customXml/itemProps11.xml><?xml version="1.0" encoding="utf-8"?>
<ds:datastoreItem xmlns:ds="http://schemas.openxmlformats.org/officeDocument/2006/customXml" ds:itemID="{881C5438-659B-4298-9318-59DFEA656FB3}">
  <ds:schemaRefs/>
</ds:datastoreItem>
</file>

<file path=customXml/itemProps12.xml><?xml version="1.0" encoding="utf-8"?>
<ds:datastoreItem xmlns:ds="http://schemas.openxmlformats.org/officeDocument/2006/customXml" ds:itemID="{A9E88257-DA5E-4084-87BC-331E6278C106}">
  <ds:schemaRefs/>
</ds:datastoreItem>
</file>

<file path=customXml/itemProps13.xml><?xml version="1.0" encoding="utf-8"?>
<ds:datastoreItem xmlns:ds="http://schemas.openxmlformats.org/officeDocument/2006/customXml" ds:itemID="{AD08F06B-9775-4CA4-97D0-B5FC55263C21}">
  <ds:schemaRefs/>
</ds:datastoreItem>
</file>

<file path=customXml/itemProps14.xml><?xml version="1.0" encoding="utf-8"?>
<ds:datastoreItem xmlns:ds="http://schemas.openxmlformats.org/officeDocument/2006/customXml" ds:itemID="{30174D9F-812C-4996-BFFD-79D282A18300}">
  <ds:schemaRefs/>
</ds:datastoreItem>
</file>

<file path=customXml/itemProps15.xml><?xml version="1.0" encoding="utf-8"?>
<ds:datastoreItem xmlns:ds="http://schemas.openxmlformats.org/officeDocument/2006/customXml" ds:itemID="{4BD0A1FC-4349-4A42-A47D-2081D1FD0602}">
  <ds:schemaRefs/>
</ds:datastoreItem>
</file>

<file path=customXml/itemProps16.xml><?xml version="1.0" encoding="utf-8"?>
<ds:datastoreItem xmlns:ds="http://schemas.openxmlformats.org/officeDocument/2006/customXml" ds:itemID="{F9F30A92-778B-4D7D-B283-270D799A9C9D}">
  <ds:schemaRefs/>
</ds:datastoreItem>
</file>

<file path=customXml/itemProps17.xml><?xml version="1.0" encoding="utf-8"?>
<ds:datastoreItem xmlns:ds="http://schemas.openxmlformats.org/officeDocument/2006/customXml" ds:itemID="{F5443FCD-48C8-40CC-93E8-2D914CF17894}">
  <ds:schemaRefs/>
</ds:datastoreItem>
</file>

<file path=customXml/itemProps18.xml><?xml version="1.0" encoding="utf-8"?>
<ds:datastoreItem xmlns:ds="http://schemas.openxmlformats.org/officeDocument/2006/customXml" ds:itemID="{A9743BEC-5D02-431A-B551-5E211AB6990E}">
  <ds:schemaRefs/>
</ds:datastoreItem>
</file>

<file path=customXml/itemProps19.xml><?xml version="1.0" encoding="utf-8"?>
<ds:datastoreItem xmlns:ds="http://schemas.openxmlformats.org/officeDocument/2006/customXml" ds:itemID="{41E97401-32A0-45DB-A529-9FCFE9795825}">
  <ds:schemaRefs/>
</ds:datastoreItem>
</file>

<file path=customXml/itemProps2.xml><?xml version="1.0" encoding="utf-8"?>
<ds:datastoreItem xmlns:ds="http://schemas.openxmlformats.org/officeDocument/2006/customXml" ds:itemID="{D2F5DDBA-A1BF-45F8-A153-6A83225DDF3A}">
  <ds:schemaRefs/>
</ds:datastoreItem>
</file>

<file path=customXml/itemProps20.xml><?xml version="1.0" encoding="utf-8"?>
<ds:datastoreItem xmlns:ds="http://schemas.openxmlformats.org/officeDocument/2006/customXml" ds:itemID="{9F0978F3-CED3-4B28-A455-76F8360AEFD7}">
  <ds:schemaRefs/>
</ds:datastoreItem>
</file>

<file path=customXml/itemProps21.xml><?xml version="1.0" encoding="utf-8"?>
<ds:datastoreItem xmlns:ds="http://schemas.openxmlformats.org/officeDocument/2006/customXml" ds:itemID="{76C1A060-E161-4C04-A676-AE0CEE552D76}">
  <ds:schemaRefs/>
</ds:datastoreItem>
</file>

<file path=customXml/itemProps22.xml><?xml version="1.0" encoding="utf-8"?>
<ds:datastoreItem xmlns:ds="http://schemas.openxmlformats.org/officeDocument/2006/customXml" ds:itemID="{052A53BA-03D5-43E7-BB4D-62E0DC2EB5A1}">
  <ds:schemaRefs/>
</ds:datastoreItem>
</file>

<file path=customXml/itemProps23.xml><?xml version="1.0" encoding="utf-8"?>
<ds:datastoreItem xmlns:ds="http://schemas.openxmlformats.org/officeDocument/2006/customXml" ds:itemID="{50ED89D0-0025-40A6-A55B-F3E19083BACB}">
  <ds:schemaRefs/>
</ds:datastoreItem>
</file>

<file path=customXml/itemProps24.xml><?xml version="1.0" encoding="utf-8"?>
<ds:datastoreItem xmlns:ds="http://schemas.openxmlformats.org/officeDocument/2006/customXml" ds:itemID="{D3FC44EA-0B76-44BD-A104-9D098686687D}">
  <ds:schemaRefs/>
</ds:datastoreItem>
</file>

<file path=customXml/itemProps25.xml><?xml version="1.0" encoding="utf-8"?>
<ds:datastoreItem xmlns:ds="http://schemas.openxmlformats.org/officeDocument/2006/customXml" ds:itemID="{E0A852F3-B108-4999-9D82-4455B240FF6C}">
  <ds:schemaRefs/>
</ds:datastoreItem>
</file>

<file path=customXml/itemProps3.xml><?xml version="1.0" encoding="utf-8"?>
<ds:datastoreItem xmlns:ds="http://schemas.openxmlformats.org/officeDocument/2006/customXml" ds:itemID="{8CAA86CB-1039-49E7-BB54-705E0BACDF02}">
  <ds:schemaRefs/>
</ds:datastoreItem>
</file>

<file path=customXml/itemProps4.xml><?xml version="1.0" encoding="utf-8"?>
<ds:datastoreItem xmlns:ds="http://schemas.openxmlformats.org/officeDocument/2006/customXml" ds:itemID="{DF6C0012-C724-4849-ACBF-40AB89A23BF0}">
  <ds:schemaRefs/>
</ds:datastoreItem>
</file>

<file path=customXml/itemProps5.xml><?xml version="1.0" encoding="utf-8"?>
<ds:datastoreItem xmlns:ds="http://schemas.openxmlformats.org/officeDocument/2006/customXml" ds:itemID="{36363D1D-1E3A-4BF2-81D7-87ED72BFB786}">
  <ds:schemaRefs/>
</ds:datastoreItem>
</file>

<file path=customXml/itemProps6.xml><?xml version="1.0" encoding="utf-8"?>
<ds:datastoreItem xmlns:ds="http://schemas.openxmlformats.org/officeDocument/2006/customXml" ds:itemID="{80D930E0-09A2-4790-AEF7-66DF2F630B3A}">
  <ds:schemaRefs/>
</ds:datastoreItem>
</file>

<file path=customXml/itemProps7.xml><?xml version="1.0" encoding="utf-8"?>
<ds:datastoreItem xmlns:ds="http://schemas.openxmlformats.org/officeDocument/2006/customXml" ds:itemID="{3ECAD3BE-ADBA-4BCD-81AC-E4B1D3DD2202}">
  <ds:schemaRefs/>
</ds:datastoreItem>
</file>

<file path=customXml/itemProps8.xml><?xml version="1.0" encoding="utf-8"?>
<ds:datastoreItem xmlns:ds="http://schemas.openxmlformats.org/officeDocument/2006/customXml" ds:itemID="{32838230-F3DC-421E-A12D-B33DD6C5F007}">
  <ds:schemaRefs/>
</ds:datastoreItem>
</file>

<file path=customXml/itemProps9.xml><?xml version="1.0" encoding="utf-8"?>
<ds:datastoreItem xmlns:ds="http://schemas.openxmlformats.org/officeDocument/2006/customXml" ds:itemID="{646938EE-2135-4133-BBB1-0B16D568F1CC}">
  <ds:schemaRefs/>
</ds:datastoreItem>
</file>

<file path=docProps/app.xml><?xml version="1.0" encoding="utf-8"?>
<Properties xmlns="http://schemas.openxmlformats.org/officeDocument/2006/extended-properties" xmlns:vt="http://schemas.openxmlformats.org/officeDocument/2006/docPropsVTypes">
  <Template>Normal</Template>
  <Pages>44</Pages>
  <Words>4904</Words>
  <Characters>27955</Characters>
  <Lines>232</Lines>
  <Paragraphs>65</Paragraphs>
  <TotalTime>5</TotalTime>
  <ScaleCrop>false</ScaleCrop>
  <LinksUpToDate>false</LinksUpToDate>
  <CharactersWithSpaces>32794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2024-02-02T04:12:00Z</dcterms:created>
  <dc:creator>资产托管部</dc:creator>
  <cp:lastModifiedBy>Liwen Xiao</cp:lastModifiedBy>
  <cp:lastPrinted>2018-05-02T05:58:00Z</cp:lastPrinted>
  <dcterms:modified xsi:type="dcterms:W3CDTF">2024-08-21T07:43:47Z</dcterms:modified>
  <dc:title>托管协议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Id">
    <vt:lpwstr>9ea5bc1dac2a47ea87497914520fd9e1</vt:lpwstr>
  </property>
  <property fmtid="{D5CDD505-2E9C-101B-9397-08002B2CF9AE}" pid="3" name="verificationId">
    <vt:lpwstr>a09ba4458179c0aa</vt:lpwstr>
  </property>
  <property fmtid="{D5CDD505-2E9C-101B-9397-08002B2CF9AE}" pid="4" name="KSOProductBuildVer">
    <vt:lpwstr>2052-11.8.2.11718</vt:lpwstr>
  </property>
  <property fmtid="{D5CDD505-2E9C-101B-9397-08002B2CF9AE}" pid="5" name="ICV">
    <vt:lpwstr>E8B2AE3192544C849A42CEDE94086CF9_13</vt:lpwstr>
  </property>
</Properties>
</file>